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41" w:rsidRPr="005A14CE" w:rsidRDefault="00B32F16" w:rsidP="00176941">
      <w:pPr>
        <w:pStyle w:val="BodyText3"/>
        <w:spacing w:before="120" w:after="120"/>
        <w:contextualSpacing/>
        <w:jc w:val="both"/>
        <w:rPr>
          <w:b/>
          <w:bCs/>
          <w:sz w:val="28"/>
          <w:szCs w:val="28"/>
          <w:u w:val="single"/>
        </w:rPr>
      </w:pPr>
      <w:r w:rsidRPr="005A14CE">
        <w:rPr>
          <w:b/>
          <w:bCs/>
          <w:sz w:val="28"/>
          <w:szCs w:val="28"/>
          <w:u w:val="single"/>
        </w:rPr>
        <w:t xml:space="preserve">MINUTES OF </w:t>
      </w:r>
      <w:r w:rsidR="00176941" w:rsidRPr="005A14CE">
        <w:rPr>
          <w:b/>
          <w:bCs/>
          <w:sz w:val="28"/>
          <w:szCs w:val="28"/>
          <w:u w:val="single"/>
        </w:rPr>
        <w:t>183</w:t>
      </w:r>
      <w:r w:rsidR="00176941" w:rsidRPr="005A14CE">
        <w:rPr>
          <w:b/>
          <w:bCs/>
          <w:sz w:val="28"/>
          <w:szCs w:val="28"/>
          <w:u w:val="single"/>
          <w:vertAlign w:val="superscript"/>
        </w:rPr>
        <w:t>rd</w:t>
      </w:r>
      <w:r w:rsidR="00176941" w:rsidRPr="005A14CE">
        <w:rPr>
          <w:b/>
          <w:bCs/>
          <w:sz w:val="28"/>
          <w:szCs w:val="28"/>
          <w:u w:val="single"/>
        </w:rPr>
        <w:t xml:space="preserve"> MEETING OF THE TOWN &amp; COUNTRY PLANNING BOARD HELD ON 11/08/2022 AT 5.30 P.M. IN </w:t>
      </w:r>
      <w:r w:rsidR="00075B5B" w:rsidRPr="005A14CE">
        <w:rPr>
          <w:b/>
          <w:bCs/>
          <w:sz w:val="28"/>
          <w:szCs w:val="28"/>
          <w:u w:val="single"/>
        </w:rPr>
        <w:t xml:space="preserve">THE </w:t>
      </w:r>
      <w:r w:rsidR="00176941" w:rsidRPr="005A14CE">
        <w:rPr>
          <w:b/>
          <w:bCs/>
          <w:sz w:val="28"/>
          <w:szCs w:val="28"/>
          <w:u w:val="single"/>
        </w:rPr>
        <w:t>CONFERENCE HALL, VAN BHAVAN, ALTINHO, PANAJI - GOA.</w:t>
      </w:r>
    </w:p>
    <w:p w:rsidR="00176941" w:rsidRPr="005A14CE" w:rsidRDefault="00176941" w:rsidP="00176941">
      <w:pPr>
        <w:pStyle w:val="BodyText3"/>
        <w:spacing w:before="120" w:after="120"/>
        <w:contextualSpacing/>
        <w:jc w:val="both"/>
        <w:rPr>
          <w:b/>
          <w:bCs/>
          <w:sz w:val="28"/>
          <w:szCs w:val="28"/>
          <w:u w:val="single"/>
        </w:rPr>
      </w:pPr>
    </w:p>
    <w:p w:rsidR="00FB2839" w:rsidRPr="005A14CE" w:rsidRDefault="00FB2839" w:rsidP="005D5F77">
      <w:pPr>
        <w:pStyle w:val="BodyText3"/>
        <w:spacing w:before="120" w:after="120"/>
        <w:ind w:firstLine="720"/>
        <w:contextualSpacing/>
        <w:jc w:val="both"/>
        <w:rPr>
          <w:bCs/>
          <w:sz w:val="28"/>
          <w:szCs w:val="28"/>
        </w:rPr>
      </w:pPr>
    </w:p>
    <w:p w:rsidR="005D5F77" w:rsidRPr="005A14CE" w:rsidRDefault="005D5F77" w:rsidP="005D5F77">
      <w:pPr>
        <w:pStyle w:val="BodyText3"/>
        <w:spacing w:before="120" w:after="120"/>
        <w:ind w:firstLine="720"/>
        <w:contextualSpacing/>
        <w:jc w:val="both"/>
        <w:rPr>
          <w:bCs/>
          <w:sz w:val="28"/>
          <w:szCs w:val="28"/>
        </w:rPr>
      </w:pPr>
      <w:r w:rsidRPr="005A14CE">
        <w:rPr>
          <w:bCs/>
          <w:sz w:val="28"/>
          <w:szCs w:val="28"/>
        </w:rPr>
        <w:t>The following attended the meeting:</w:t>
      </w:r>
    </w:p>
    <w:p w:rsidR="005D5F77" w:rsidRPr="005A14CE" w:rsidRDefault="005D5F77" w:rsidP="005D5F77">
      <w:pPr>
        <w:pStyle w:val="BodyText3"/>
        <w:spacing w:before="120" w:after="120"/>
        <w:ind w:firstLine="720"/>
        <w:contextualSpacing/>
        <w:jc w:val="both"/>
        <w:rPr>
          <w:bCs/>
          <w:sz w:val="28"/>
          <w:szCs w:val="28"/>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615"/>
        <w:gridCol w:w="663"/>
        <w:gridCol w:w="3858"/>
      </w:tblGrid>
      <w:tr w:rsidR="005D5F77" w:rsidRPr="005A14CE" w:rsidTr="004B765F">
        <w:tc>
          <w:tcPr>
            <w:tcW w:w="566" w:type="dxa"/>
          </w:tcPr>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sz w:val="28"/>
                <w:szCs w:val="28"/>
              </w:rPr>
              <w:t>1.</w:t>
            </w:r>
          </w:p>
        </w:tc>
        <w:tc>
          <w:tcPr>
            <w:tcW w:w="4615" w:type="dxa"/>
          </w:tcPr>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sz w:val="28"/>
                <w:szCs w:val="28"/>
              </w:rPr>
              <w:t xml:space="preserve">Shri. Vishwajit Rane, </w:t>
            </w:r>
          </w:p>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sz w:val="28"/>
                <w:szCs w:val="28"/>
              </w:rPr>
              <w:t>Hon. Minister for TCP</w:t>
            </w:r>
          </w:p>
          <w:p w:rsidR="005D5F77" w:rsidRPr="005A14CE" w:rsidRDefault="005D5F77" w:rsidP="0019433C">
            <w:pPr>
              <w:pStyle w:val="NoSpacing"/>
              <w:rPr>
                <w:rFonts w:ascii="Times New Roman" w:hAnsi="Times New Roman" w:cs="Times New Roman"/>
                <w:sz w:val="28"/>
                <w:szCs w:val="28"/>
              </w:rPr>
            </w:pPr>
          </w:p>
        </w:tc>
        <w:tc>
          <w:tcPr>
            <w:tcW w:w="663" w:type="dxa"/>
          </w:tcPr>
          <w:p w:rsidR="005D5F77" w:rsidRPr="005A14CE" w:rsidRDefault="005D5F77" w:rsidP="0019433C">
            <w:pPr>
              <w:pStyle w:val="NoSpacing"/>
              <w:rPr>
                <w:rFonts w:ascii="Times New Roman" w:hAnsi="Times New Roman" w:cs="Times New Roman"/>
                <w:color w:val="000000"/>
                <w:sz w:val="28"/>
                <w:szCs w:val="28"/>
              </w:rPr>
            </w:pPr>
          </w:p>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5D5F77" w:rsidRPr="005A14CE" w:rsidRDefault="005D5F77" w:rsidP="0019433C">
            <w:pPr>
              <w:pStyle w:val="NoSpacing"/>
              <w:rPr>
                <w:rFonts w:ascii="Times New Roman" w:hAnsi="Times New Roman" w:cs="Times New Roman"/>
                <w:color w:val="000000"/>
                <w:sz w:val="28"/>
                <w:szCs w:val="28"/>
              </w:rPr>
            </w:pPr>
          </w:p>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Chairman</w:t>
            </w:r>
          </w:p>
        </w:tc>
      </w:tr>
      <w:tr w:rsidR="005D5F77" w:rsidRPr="005A14CE" w:rsidTr="004B765F">
        <w:trPr>
          <w:trHeight w:val="456"/>
        </w:trPr>
        <w:tc>
          <w:tcPr>
            <w:tcW w:w="566" w:type="dxa"/>
          </w:tcPr>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sz w:val="28"/>
                <w:szCs w:val="28"/>
              </w:rPr>
              <w:t>2.</w:t>
            </w:r>
          </w:p>
        </w:tc>
        <w:tc>
          <w:tcPr>
            <w:tcW w:w="4615" w:type="dxa"/>
          </w:tcPr>
          <w:p w:rsidR="008C1498" w:rsidRPr="005A14CE" w:rsidRDefault="008C1498" w:rsidP="0019433C">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Smt. Deviya Rane</w:t>
            </w:r>
            <w:r w:rsidR="00AB3981" w:rsidRPr="005A14CE">
              <w:rPr>
                <w:rFonts w:ascii="Times New Roman" w:hAnsi="Times New Roman" w:cs="Times New Roman"/>
                <w:color w:val="000000"/>
                <w:sz w:val="28"/>
                <w:szCs w:val="28"/>
              </w:rPr>
              <w:t>,</w:t>
            </w:r>
          </w:p>
          <w:p w:rsidR="00AB3981" w:rsidRPr="005A14CE" w:rsidRDefault="00AB3981" w:rsidP="00AB398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Hon’ble MLA</w:t>
            </w:r>
          </w:p>
          <w:p w:rsidR="005D5F77" w:rsidRPr="005A14CE" w:rsidRDefault="005D5F77" w:rsidP="008C1498">
            <w:pPr>
              <w:pStyle w:val="NoSpacing"/>
              <w:rPr>
                <w:rFonts w:ascii="Times New Roman" w:hAnsi="Times New Roman" w:cs="Times New Roman"/>
                <w:color w:val="000000"/>
                <w:sz w:val="28"/>
                <w:szCs w:val="28"/>
              </w:rPr>
            </w:pPr>
          </w:p>
        </w:tc>
        <w:tc>
          <w:tcPr>
            <w:tcW w:w="663" w:type="dxa"/>
          </w:tcPr>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5D5F77" w:rsidRPr="005A14CE" w:rsidRDefault="005D5F77" w:rsidP="0019433C">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8C1498" w:rsidRPr="005A14CE" w:rsidTr="004B765F">
        <w:tc>
          <w:tcPr>
            <w:tcW w:w="566" w:type="dxa"/>
          </w:tcPr>
          <w:p w:rsidR="008C1498" w:rsidRPr="005A14CE" w:rsidRDefault="008C1498"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3.</w:t>
            </w:r>
          </w:p>
        </w:tc>
        <w:tc>
          <w:tcPr>
            <w:tcW w:w="4615" w:type="dxa"/>
          </w:tcPr>
          <w:p w:rsidR="008C1498" w:rsidRPr="005A14CE" w:rsidRDefault="008C1498"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Shri Rajesh Faldessai,</w:t>
            </w:r>
          </w:p>
          <w:p w:rsidR="008C1498" w:rsidRPr="005A14CE" w:rsidRDefault="008C1498"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Hon’ble MLA</w:t>
            </w:r>
          </w:p>
          <w:p w:rsidR="008C1498" w:rsidRPr="005A14CE" w:rsidRDefault="008C1498" w:rsidP="008C1498">
            <w:pPr>
              <w:pStyle w:val="NoSpacing"/>
              <w:rPr>
                <w:rFonts w:ascii="Times New Roman" w:hAnsi="Times New Roman" w:cs="Times New Roman"/>
                <w:color w:val="000000"/>
                <w:sz w:val="28"/>
                <w:szCs w:val="28"/>
              </w:rPr>
            </w:pPr>
          </w:p>
        </w:tc>
        <w:tc>
          <w:tcPr>
            <w:tcW w:w="663" w:type="dxa"/>
          </w:tcPr>
          <w:p w:rsidR="008C1498" w:rsidRPr="005A14CE" w:rsidRDefault="008C1498"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8C1498" w:rsidRPr="005A14CE" w:rsidRDefault="008C1498"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4.</w:t>
            </w:r>
          </w:p>
        </w:tc>
        <w:tc>
          <w:tcPr>
            <w:tcW w:w="4615" w:type="dxa"/>
          </w:tcPr>
          <w:p w:rsidR="00AF0FF1" w:rsidRPr="005A14CE" w:rsidRDefault="00AF0FF1" w:rsidP="00AF0FF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Shri Santosh H. Fadte, </w:t>
            </w:r>
          </w:p>
          <w:p w:rsidR="00AF0FF1" w:rsidRPr="005A14CE" w:rsidRDefault="00AF0FF1" w:rsidP="00AF0FF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Dy. Conservator of Forest </w:t>
            </w:r>
            <w:r w:rsidRPr="005A14CE">
              <w:rPr>
                <w:rFonts w:ascii="Times New Roman" w:hAnsi="Times New Roman" w:cs="Times New Roman"/>
                <w:color w:val="000000"/>
                <w:sz w:val="28"/>
                <w:szCs w:val="28"/>
              </w:rPr>
              <w:tab/>
            </w:r>
          </w:p>
          <w:p w:rsidR="00AF0FF1" w:rsidRPr="005A14CE" w:rsidRDefault="00AF0FF1" w:rsidP="00AF0FF1">
            <w:pPr>
              <w:pStyle w:val="NoSpacing"/>
              <w:rPr>
                <w:rFonts w:ascii="Times New Roman" w:hAnsi="Times New Roman" w:cs="Times New Roman"/>
                <w:sz w:val="28"/>
                <w:szCs w:val="28"/>
              </w:rPr>
            </w:pPr>
          </w:p>
        </w:tc>
        <w:tc>
          <w:tcPr>
            <w:tcW w:w="663" w:type="dxa"/>
          </w:tcPr>
          <w:p w:rsidR="00AF0FF1" w:rsidRPr="005A14CE" w:rsidRDefault="00AF0FF1" w:rsidP="00AF0FF1">
            <w:pPr>
              <w:pStyle w:val="NoSpacing"/>
              <w:rPr>
                <w:rFonts w:ascii="Times New Roman" w:hAnsi="Times New Roman" w:cs="Times New Roman"/>
                <w:color w:val="000000"/>
                <w:sz w:val="28"/>
                <w:szCs w:val="28"/>
              </w:rPr>
            </w:pP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AF0FF1">
            <w:pPr>
              <w:pStyle w:val="NoSpacing"/>
              <w:rPr>
                <w:rFonts w:ascii="Times New Roman" w:hAnsi="Times New Roman" w:cs="Times New Roman"/>
                <w:color w:val="000000"/>
                <w:sz w:val="28"/>
                <w:szCs w:val="28"/>
              </w:rPr>
            </w:pP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5.</w:t>
            </w:r>
          </w:p>
        </w:tc>
        <w:tc>
          <w:tcPr>
            <w:tcW w:w="4615" w:type="dxa"/>
          </w:tcPr>
          <w:p w:rsidR="00AF0FF1" w:rsidRPr="005A14CE" w:rsidRDefault="00AF0FF1" w:rsidP="00AF0FF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Shri Sujay Shirodkar, </w:t>
            </w:r>
          </w:p>
          <w:p w:rsidR="00AF0FF1" w:rsidRPr="005A14CE" w:rsidRDefault="00AF0FF1" w:rsidP="00AF0FF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Agriculture Officer,</w:t>
            </w:r>
          </w:p>
          <w:p w:rsidR="00AF0FF1" w:rsidRPr="005A14CE" w:rsidRDefault="00AF0FF1" w:rsidP="00AF0FF1">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Directorate of Agriculture.</w:t>
            </w:r>
          </w:p>
          <w:p w:rsidR="00AF0FF1" w:rsidRPr="005A14CE" w:rsidRDefault="00AF0FF1" w:rsidP="00AF0FF1">
            <w:pPr>
              <w:pStyle w:val="NoSpacing"/>
              <w:rPr>
                <w:rFonts w:ascii="Times New Roman" w:hAnsi="Times New Roman" w:cs="Times New Roman"/>
                <w:color w:val="000000"/>
                <w:sz w:val="28"/>
                <w:szCs w:val="28"/>
              </w:rPr>
            </w:pPr>
          </w:p>
        </w:tc>
        <w:tc>
          <w:tcPr>
            <w:tcW w:w="663"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6.</w:t>
            </w:r>
          </w:p>
        </w:tc>
        <w:tc>
          <w:tcPr>
            <w:tcW w:w="4615" w:type="dxa"/>
          </w:tcPr>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sz w:val="28"/>
                <w:szCs w:val="28"/>
              </w:rPr>
              <w:t>Shri Ralph Barboso,</w:t>
            </w: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sz w:val="28"/>
                <w:szCs w:val="28"/>
              </w:rPr>
              <w:t>Research Asst.,</w:t>
            </w: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sz w:val="28"/>
                <w:szCs w:val="28"/>
              </w:rPr>
              <w:t>DPSE, Porvorim</w:t>
            </w:r>
          </w:p>
          <w:p w:rsidR="00AF0FF1" w:rsidRPr="005A14CE" w:rsidRDefault="00AF0FF1" w:rsidP="00AF0FF1">
            <w:pPr>
              <w:pStyle w:val="NoSpacing"/>
              <w:rPr>
                <w:rFonts w:ascii="Times New Roman" w:hAnsi="Times New Roman" w:cs="Times New Roman"/>
                <w:sz w:val="28"/>
                <w:szCs w:val="28"/>
              </w:rPr>
            </w:pPr>
          </w:p>
        </w:tc>
        <w:tc>
          <w:tcPr>
            <w:tcW w:w="663"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Member </w:t>
            </w:r>
          </w:p>
          <w:p w:rsidR="00AF0FF1" w:rsidRPr="005A14CE" w:rsidRDefault="00AF0FF1" w:rsidP="008C1498">
            <w:pPr>
              <w:pStyle w:val="NoSpacing"/>
              <w:rPr>
                <w:rFonts w:ascii="Times New Roman" w:hAnsi="Times New Roman" w:cs="Times New Roman"/>
                <w:sz w:val="28"/>
                <w:szCs w:val="28"/>
              </w:rPr>
            </w:pP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7.</w:t>
            </w:r>
          </w:p>
        </w:tc>
        <w:tc>
          <w:tcPr>
            <w:tcW w:w="4615" w:type="dxa"/>
          </w:tcPr>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sz w:val="28"/>
                <w:szCs w:val="28"/>
              </w:rPr>
              <w:t xml:space="preserve">Subhash Priya,           </w:t>
            </w: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sz w:val="28"/>
                <w:szCs w:val="28"/>
              </w:rPr>
              <w:t xml:space="preserve">Representative of </w:t>
            </w:r>
            <w:r w:rsidR="00565A1F" w:rsidRPr="005A14CE">
              <w:rPr>
                <w:rFonts w:ascii="Times New Roman" w:hAnsi="Times New Roman" w:cs="Times New Roman"/>
                <w:sz w:val="28"/>
                <w:szCs w:val="28"/>
              </w:rPr>
              <w:t>Defense</w:t>
            </w:r>
            <w:r w:rsidRPr="005A14CE">
              <w:rPr>
                <w:rFonts w:ascii="Times New Roman" w:hAnsi="Times New Roman" w:cs="Times New Roman"/>
                <w:sz w:val="28"/>
                <w:szCs w:val="28"/>
              </w:rPr>
              <w:t>, GOI</w:t>
            </w:r>
          </w:p>
          <w:p w:rsidR="00AF0FF1" w:rsidRPr="005A14CE" w:rsidRDefault="00AF0FF1" w:rsidP="00AF0FF1">
            <w:pPr>
              <w:pStyle w:val="NoSpacing"/>
              <w:rPr>
                <w:rFonts w:ascii="Times New Roman" w:hAnsi="Times New Roman" w:cs="Times New Roman"/>
                <w:sz w:val="28"/>
                <w:szCs w:val="28"/>
              </w:rPr>
            </w:pPr>
          </w:p>
        </w:tc>
        <w:tc>
          <w:tcPr>
            <w:tcW w:w="663" w:type="dxa"/>
          </w:tcPr>
          <w:p w:rsidR="00AF0FF1" w:rsidRPr="005A14CE" w:rsidRDefault="00AF0FF1" w:rsidP="00AF0FF1">
            <w:pPr>
              <w:pStyle w:val="NoSpacing"/>
              <w:rPr>
                <w:rFonts w:ascii="Times New Roman" w:hAnsi="Times New Roman" w:cs="Times New Roman"/>
                <w:color w:val="000000"/>
                <w:sz w:val="28"/>
                <w:szCs w:val="28"/>
              </w:rPr>
            </w:pP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AF0FF1">
            <w:pPr>
              <w:pStyle w:val="NoSpacing"/>
              <w:rPr>
                <w:rFonts w:ascii="Times New Roman" w:hAnsi="Times New Roman" w:cs="Times New Roman"/>
                <w:color w:val="000000"/>
                <w:sz w:val="28"/>
                <w:szCs w:val="28"/>
              </w:rPr>
            </w:pPr>
          </w:p>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8.</w:t>
            </w:r>
          </w:p>
        </w:tc>
        <w:tc>
          <w:tcPr>
            <w:tcW w:w="4615"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Shri Paresh Gaitonde</w:t>
            </w:r>
          </w:p>
          <w:p w:rsidR="00C55002" w:rsidRPr="005A14CE" w:rsidRDefault="00C55002" w:rsidP="00D7052A">
            <w:pPr>
              <w:pStyle w:val="NoSpacing"/>
              <w:rPr>
                <w:rFonts w:ascii="Times New Roman" w:hAnsi="Times New Roman" w:cs="Times New Roman"/>
                <w:sz w:val="28"/>
                <w:szCs w:val="28"/>
              </w:rPr>
            </w:pPr>
          </w:p>
        </w:tc>
        <w:tc>
          <w:tcPr>
            <w:tcW w:w="663"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Member </w:t>
            </w:r>
          </w:p>
          <w:p w:rsidR="00C55002" w:rsidRPr="005A14CE" w:rsidRDefault="00C55002" w:rsidP="00D7052A">
            <w:pPr>
              <w:pStyle w:val="NoSpacing"/>
              <w:rPr>
                <w:rFonts w:ascii="Times New Roman" w:hAnsi="Times New Roman" w:cs="Times New Roman"/>
                <w:sz w:val="28"/>
                <w:szCs w:val="28"/>
              </w:rPr>
            </w:pP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9.</w:t>
            </w:r>
          </w:p>
        </w:tc>
        <w:tc>
          <w:tcPr>
            <w:tcW w:w="4615"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Arch. Rajeev M. Sukhthanker</w:t>
            </w:r>
          </w:p>
        </w:tc>
        <w:tc>
          <w:tcPr>
            <w:tcW w:w="663"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Member </w:t>
            </w:r>
          </w:p>
          <w:p w:rsidR="00C55002" w:rsidRPr="005A14CE" w:rsidRDefault="00C55002" w:rsidP="00D7052A">
            <w:pPr>
              <w:pStyle w:val="NoSpacing"/>
              <w:rPr>
                <w:rFonts w:ascii="Times New Roman" w:hAnsi="Times New Roman" w:cs="Times New Roman"/>
                <w:sz w:val="28"/>
                <w:szCs w:val="28"/>
              </w:rPr>
            </w:pP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10.</w:t>
            </w:r>
          </w:p>
        </w:tc>
        <w:tc>
          <w:tcPr>
            <w:tcW w:w="4615"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Shri Ralph De Souza,</w:t>
            </w: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President GCCI (</w:t>
            </w:r>
            <w:r w:rsidRPr="005A14CE">
              <w:rPr>
                <w:rFonts w:ascii="Times New Roman" w:hAnsi="Times New Roman" w:cs="Times New Roman"/>
                <w:color w:val="000000"/>
                <w:sz w:val="28"/>
                <w:szCs w:val="28"/>
              </w:rPr>
              <w:t>Representative)</w:t>
            </w:r>
          </w:p>
          <w:p w:rsidR="00C55002" w:rsidRPr="005A14CE" w:rsidRDefault="00C55002" w:rsidP="00D7052A">
            <w:pPr>
              <w:pStyle w:val="NoSpacing"/>
              <w:rPr>
                <w:rFonts w:ascii="Times New Roman" w:hAnsi="Times New Roman" w:cs="Times New Roman"/>
                <w:sz w:val="28"/>
                <w:szCs w:val="28"/>
              </w:rPr>
            </w:pPr>
          </w:p>
        </w:tc>
        <w:tc>
          <w:tcPr>
            <w:tcW w:w="663" w:type="dxa"/>
          </w:tcPr>
          <w:p w:rsidR="00C55002" w:rsidRPr="005A14CE" w:rsidRDefault="00C55002" w:rsidP="00D7052A">
            <w:pPr>
              <w:pStyle w:val="NoSpacing"/>
              <w:rPr>
                <w:rFonts w:ascii="Times New Roman" w:hAnsi="Times New Roman" w:cs="Times New Roman"/>
                <w:color w:val="000000"/>
                <w:sz w:val="28"/>
                <w:szCs w:val="28"/>
              </w:rPr>
            </w:pP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C55002" w:rsidRPr="005A14CE" w:rsidRDefault="00C55002" w:rsidP="00D7052A">
            <w:pPr>
              <w:pStyle w:val="NoSpacing"/>
              <w:rPr>
                <w:rFonts w:ascii="Times New Roman" w:hAnsi="Times New Roman" w:cs="Times New Roman"/>
                <w:color w:val="000000"/>
                <w:sz w:val="28"/>
                <w:szCs w:val="28"/>
              </w:rPr>
            </w:pP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 xml:space="preserve">Member </w:t>
            </w: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11.</w:t>
            </w:r>
          </w:p>
        </w:tc>
        <w:tc>
          <w:tcPr>
            <w:tcW w:w="4615"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Adv. Nilesh Amonkar</w:t>
            </w:r>
          </w:p>
          <w:p w:rsidR="00C55002" w:rsidRPr="005A14CE" w:rsidRDefault="00C55002" w:rsidP="00D7052A">
            <w:pPr>
              <w:pStyle w:val="NoSpacing"/>
              <w:rPr>
                <w:rFonts w:ascii="Times New Roman" w:hAnsi="Times New Roman" w:cs="Times New Roman"/>
                <w:sz w:val="28"/>
                <w:szCs w:val="28"/>
              </w:rPr>
            </w:pPr>
          </w:p>
        </w:tc>
        <w:tc>
          <w:tcPr>
            <w:tcW w:w="663"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w:t>
            </w:r>
          </w:p>
          <w:p w:rsidR="00C55002" w:rsidRPr="005A14CE" w:rsidRDefault="00C55002" w:rsidP="00D7052A">
            <w:pPr>
              <w:pStyle w:val="NoSpacing"/>
              <w:rPr>
                <w:rFonts w:ascii="Times New Roman" w:hAnsi="Times New Roman" w:cs="Times New Roman"/>
                <w:sz w:val="28"/>
                <w:szCs w:val="28"/>
              </w:rPr>
            </w:pPr>
          </w:p>
        </w:tc>
        <w:tc>
          <w:tcPr>
            <w:tcW w:w="3858" w:type="dxa"/>
          </w:tcPr>
          <w:p w:rsidR="00C55002" w:rsidRPr="005A14CE" w:rsidRDefault="00C55002" w:rsidP="00D7052A">
            <w:pPr>
              <w:rPr>
                <w:rFonts w:ascii="Times New Roman" w:hAnsi="Times New Roman" w:cs="Times New Roman"/>
                <w:sz w:val="28"/>
                <w:szCs w:val="28"/>
              </w:rPr>
            </w:pPr>
            <w:r w:rsidRPr="005A14CE">
              <w:rPr>
                <w:rFonts w:ascii="Times New Roman" w:hAnsi="Times New Roman" w:cs="Times New Roman"/>
                <w:color w:val="000000"/>
                <w:sz w:val="28"/>
                <w:szCs w:val="28"/>
              </w:rPr>
              <w:t>Special Invitee</w:t>
            </w: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12.</w:t>
            </w:r>
          </w:p>
        </w:tc>
        <w:tc>
          <w:tcPr>
            <w:tcW w:w="4615"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Shri Akash Khaunte,</w:t>
            </w: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Representative of CII</w:t>
            </w:r>
          </w:p>
          <w:p w:rsidR="00C55002" w:rsidRPr="005A14CE" w:rsidRDefault="00C55002" w:rsidP="00D7052A">
            <w:pPr>
              <w:rPr>
                <w:rFonts w:ascii="Times New Roman" w:hAnsi="Times New Roman" w:cs="Times New Roman"/>
                <w:color w:val="000000"/>
                <w:sz w:val="28"/>
                <w:szCs w:val="28"/>
              </w:rPr>
            </w:pPr>
          </w:p>
        </w:tc>
        <w:tc>
          <w:tcPr>
            <w:tcW w:w="663" w:type="dxa"/>
          </w:tcPr>
          <w:p w:rsidR="00C55002" w:rsidRPr="005A14CE" w:rsidRDefault="00C55002" w:rsidP="00D7052A">
            <w:pPr>
              <w:pStyle w:val="NoSpacing"/>
              <w:rPr>
                <w:rFonts w:ascii="Times New Roman" w:hAnsi="Times New Roman" w:cs="Times New Roman"/>
                <w:color w:val="000000"/>
                <w:sz w:val="28"/>
                <w:szCs w:val="28"/>
              </w:rPr>
            </w:pP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C55002" w:rsidRPr="005A14CE" w:rsidRDefault="00C55002" w:rsidP="00D7052A">
            <w:pPr>
              <w:rPr>
                <w:rFonts w:ascii="Times New Roman" w:hAnsi="Times New Roman" w:cs="Times New Roman"/>
                <w:color w:val="000000"/>
                <w:sz w:val="28"/>
                <w:szCs w:val="28"/>
              </w:rPr>
            </w:pPr>
          </w:p>
          <w:p w:rsidR="00C55002" w:rsidRPr="005A14CE" w:rsidRDefault="00C55002" w:rsidP="00D7052A">
            <w:pPr>
              <w:rPr>
                <w:rFonts w:ascii="Times New Roman" w:hAnsi="Times New Roman" w:cs="Times New Roman"/>
                <w:sz w:val="28"/>
                <w:szCs w:val="28"/>
              </w:rPr>
            </w:pPr>
            <w:r w:rsidRPr="005A14CE">
              <w:rPr>
                <w:rFonts w:ascii="Times New Roman" w:hAnsi="Times New Roman" w:cs="Times New Roman"/>
                <w:color w:val="000000"/>
                <w:sz w:val="28"/>
                <w:szCs w:val="28"/>
              </w:rPr>
              <w:t>Special Invitee</w:t>
            </w: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13.</w:t>
            </w:r>
          </w:p>
        </w:tc>
        <w:tc>
          <w:tcPr>
            <w:tcW w:w="4615" w:type="dxa"/>
          </w:tcPr>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Shri Avez Shaikh,</w:t>
            </w: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sz w:val="28"/>
                <w:szCs w:val="28"/>
              </w:rPr>
              <w:t>Representative of CREDAI</w:t>
            </w:r>
          </w:p>
        </w:tc>
        <w:tc>
          <w:tcPr>
            <w:tcW w:w="663" w:type="dxa"/>
          </w:tcPr>
          <w:p w:rsidR="00C55002" w:rsidRPr="005A14CE" w:rsidRDefault="00C55002" w:rsidP="00D7052A">
            <w:pPr>
              <w:pStyle w:val="NoSpacing"/>
              <w:rPr>
                <w:rFonts w:ascii="Times New Roman" w:hAnsi="Times New Roman" w:cs="Times New Roman"/>
                <w:color w:val="000000"/>
                <w:sz w:val="28"/>
                <w:szCs w:val="28"/>
              </w:rPr>
            </w:pPr>
          </w:p>
          <w:p w:rsidR="00C55002" w:rsidRPr="005A14CE" w:rsidRDefault="00C55002" w:rsidP="00D7052A">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C55002" w:rsidRPr="005A14CE" w:rsidRDefault="00C55002" w:rsidP="00D7052A">
            <w:pPr>
              <w:rPr>
                <w:rFonts w:ascii="Times New Roman" w:hAnsi="Times New Roman" w:cs="Times New Roman"/>
                <w:color w:val="000000"/>
                <w:sz w:val="28"/>
                <w:szCs w:val="28"/>
              </w:rPr>
            </w:pPr>
          </w:p>
          <w:p w:rsidR="00C55002" w:rsidRPr="005A14CE" w:rsidRDefault="00C55002" w:rsidP="00D7052A">
            <w:pPr>
              <w:rPr>
                <w:rFonts w:ascii="Times New Roman" w:hAnsi="Times New Roman" w:cs="Times New Roman"/>
                <w:sz w:val="28"/>
                <w:szCs w:val="28"/>
              </w:rPr>
            </w:pPr>
            <w:r w:rsidRPr="005A14CE">
              <w:rPr>
                <w:rFonts w:ascii="Times New Roman" w:hAnsi="Times New Roman" w:cs="Times New Roman"/>
                <w:color w:val="000000"/>
                <w:sz w:val="28"/>
                <w:szCs w:val="28"/>
              </w:rPr>
              <w:t>Special Invitee</w:t>
            </w: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14.</w:t>
            </w:r>
          </w:p>
        </w:tc>
        <w:tc>
          <w:tcPr>
            <w:tcW w:w="4615"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Smt. Snehalata Pednekar</w:t>
            </w:r>
          </w:p>
          <w:p w:rsidR="00C55002" w:rsidRPr="005A14CE" w:rsidRDefault="00C55002" w:rsidP="00D7052A">
            <w:pPr>
              <w:pStyle w:val="NoSpacing"/>
              <w:rPr>
                <w:rFonts w:ascii="Times New Roman" w:hAnsi="Times New Roman" w:cs="Times New Roman"/>
                <w:sz w:val="28"/>
                <w:szCs w:val="28"/>
              </w:rPr>
            </w:pPr>
          </w:p>
        </w:tc>
        <w:tc>
          <w:tcPr>
            <w:tcW w:w="663"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w:t>
            </w:r>
          </w:p>
          <w:p w:rsidR="00C55002" w:rsidRPr="005A14CE" w:rsidRDefault="00C55002" w:rsidP="00D7052A">
            <w:pPr>
              <w:pStyle w:val="NoSpacing"/>
              <w:rPr>
                <w:rFonts w:ascii="Times New Roman" w:hAnsi="Times New Roman" w:cs="Times New Roman"/>
                <w:sz w:val="28"/>
                <w:szCs w:val="28"/>
              </w:rPr>
            </w:pPr>
          </w:p>
        </w:tc>
        <w:tc>
          <w:tcPr>
            <w:tcW w:w="3858"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Special Invitee</w:t>
            </w:r>
          </w:p>
          <w:p w:rsidR="00C55002" w:rsidRPr="005A14CE" w:rsidRDefault="00C55002" w:rsidP="00D7052A">
            <w:pPr>
              <w:pStyle w:val="NoSpacing"/>
              <w:rPr>
                <w:rFonts w:ascii="Times New Roman" w:hAnsi="Times New Roman" w:cs="Times New Roman"/>
                <w:sz w:val="28"/>
                <w:szCs w:val="28"/>
              </w:rPr>
            </w:pPr>
          </w:p>
        </w:tc>
      </w:tr>
      <w:tr w:rsidR="00C55002" w:rsidRPr="005A14CE" w:rsidTr="004B765F">
        <w:tc>
          <w:tcPr>
            <w:tcW w:w="566" w:type="dxa"/>
          </w:tcPr>
          <w:p w:rsidR="00C55002"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15.</w:t>
            </w:r>
          </w:p>
        </w:tc>
        <w:tc>
          <w:tcPr>
            <w:tcW w:w="4615"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Arch Bryan Soares</w:t>
            </w:r>
          </w:p>
        </w:tc>
        <w:tc>
          <w:tcPr>
            <w:tcW w:w="663"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w:t>
            </w:r>
          </w:p>
          <w:p w:rsidR="00C55002" w:rsidRPr="005A14CE" w:rsidRDefault="00C55002" w:rsidP="00D7052A">
            <w:pPr>
              <w:pStyle w:val="NoSpacing"/>
              <w:rPr>
                <w:rFonts w:ascii="Times New Roman" w:hAnsi="Times New Roman" w:cs="Times New Roman"/>
                <w:sz w:val="28"/>
                <w:szCs w:val="28"/>
              </w:rPr>
            </w:pPr>
          </w:p>
        </w:tc>
        <w:tc>
          <w:tcPr>
            <w:tcW w:w="3858" w:type="dxa"/>
          </w:tcPr>
          <w:p w:rsidR="00C55002" w:rsidRPr="005A14CE" w:rsidRDefault="00C55002" w:rsidP="00D7052A">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Invitee</w:t>
            </w:r>
          </w:p>
          <w:p w:rsidR="00C55002" w:rsidRPr="005A14CE" w:rsidRDefault="00C55002" w:rsidP="00D7052A">
            <w:pPr>
              <w:pStyle w:val="NoSpacing"/>
              <w:rPr>
                <w:rFonts w:ascii="Times New Roman" w:hAnsi="Times New Roman" w:cs="Times New Roman"/>
                <w:sz w:val="28"/>
                <w:szCs w:val="28"/>
              </w:rPr>
            </w:pPr>
          </w:p>
        </w:tc>
      </w:tr>
      <w:tr w:rsidR="00AF0FF1" w:rsidRPr="005A14CE" w:rsidTr="004B765F">
        <w:tc>
          <w:tcPr>
            <w:tcW w:w="566" w:type="dxa"/>
          </w:tcPr>
          <w:p w:rsidR="00AF0FF1" w:rsidRPr="005A14CE" w:rsidRDefault="00C55002"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16.</w:t>
            </w:r>
          </w:p>
        </w:tc>
        <w:tc>
          <w:tcPr>
            <w:tcW w:w="4615"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 xml:space="preserve">Shri Ketak Nachinolkar, Architect </w:t>
            </w:r>
          </w:p>
        </w:tc>
        <w:tc>
          <w:tcPr>
            <w:tcW w:w="663" w:type="dxa"/>
          </w:tcPr>
          <w:p w:rsidR="00AF0FF1" w:rsidRPr="005A14CE" w:rsidRDefault="00AF0FF1" w:rsidP="00AF0FF1">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9324DC" w:rsidP="00AF0FF1">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Invitee</w:t>
            </w:r>
          </w:p>
          <w:p w:rsidR="00AF0FF1" w:rsidRPr="005A14CE" w:rsidRDefault="00AF0FF1" w:rsidP="00AF0FF1">
            <w:pPr>
              <w:pStyle w:val="NoSpacing"/>
              <w:rPr>
                <w:rFonts w:ascii="Times New Roman" w:hAnsi="Times New Roman" w:cs="Times New Roman"/>
                <w:sz w:val="28"/>
                <w:szCs w:val="28"/>
              </w:rPr>
            </w:pP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lastRenderedPageBreak/>
              <w:t>17.</w:t>
            </w:r>
          </w:p>
        </w:tc>
        <w:tc>
          <w:tcPr>
            <w:tcW w:w="4615" w:type="dxa"/>
          </w:tcPr>
          <w:p w:rsidR="00AF0FF1" w:rsidRPr="005A14CE" w:rsidRDefault="00AF0FF1"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Shri James Mathew,</w:t>
            </w:r>
          </w:p>
          <w:p w:rsidR="00AF0FF1" w:rsidRPr="005A14CE" w:rsidRDefault="00AF0FF1"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Chief Town Planner (Admn.)</w:t>
            </w:r>
          </w:p>
          <w:p w:rsidR="00AF0FF1" w:rsidRPr="005A14CE" w:rsidRDefault="00AF0FF1" w:rsidP="008C1498">
            <w:pPr>
              <w:pStyle w:val="NoSpacing"/>
              <w:rPr>
                <w:rFonts w:ascii="Times New Roman" w:hAnsi="Times New Roman" w:cs="Times New Roman"/>
                <w:sz w:val="28"/>
                <w:szCs w:val="28"/>
              </w:rPr>
            </w:pPr>
          </w:p>
        </w:tc>
        <w:tc>
          <w:tcPr>
            <w:tcW w:w="663"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Invitee</w:t>
            </w:r>
          </w:p>
          <w:p w:rsidR="00AF0FF1" w:rsidRPr="005A14CE" w:rsidRDefault="00AF0FF1" w:rsidP="008C1498">
            <w:pPr>
              <w:pStyle w:val="NoSpacing"/>
              <w:rPr>
                <w:rFonts w:ascii="Times New Roman" w:hAnsi="Times New Roman" w:cs="Times New Roman"/>
                <w:sz w:val="28"/>
                <w:szCs w:val="28"/>
              </w:rPr>
            </w:pPr>
          </w:p>
        </w:tc>
      </w:tr>
      <w:tr w:rsidR="00AF0FF1" w:rsidRPr="005A14CE" w:rsidTr="004B765F">
        <w:tc>
          <w:tcPr>
            <w:tcW w:w="566" w:type="dxa"/>
          </w:tcPr>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sz w:val="28"/>
                <w:szCs w:val="28"/>
              </w:rPr>
              <w:t>18.</w:t>
            </w:r>
          </w:p>
        </w:tc>
        <w:tc>
          <w:tcPr>
            <w:tcW w:w="4615" w:type="dxa"/>
          </w:tcPr>
          <w:p w:rsidR="00AF0FF1" w:rsidRPr="005A14CE" w:rsidRDefault="00AF0FF1" w:rsidP="008C1498">
            <w:pPr>
              <w:pStyle w:val="NoSpacing"/>
              <w:rPr>
                <w:rFonts w:ascii="Times New Roman" w:hAnsi="Times New Roman" w:cs="Times New Roman"/>
                <w:color w:val="000000"/>
                <w:sz w:val="28"/>
                <w:szCs w:val="28"/>
              </w:rPr>
            </w:pPr>
            <w:r w:rsidRPr="005A14CE">
              <w:rPr>
                <w:rFonts w:ascii="Times New Roman" w:hAnsi="Times New Roman" w:cs="Times New Roman"/>
                <w:color w:val="000000"/>
                <w:sz w:val="28"/>
                <w:szCs w:val="28"/>
              </w:rPr>
              <w:t xml:space="preserve">Shri. Rajesh J. Naik, </w:t>
            </w: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Chief Town Planner (Planning)</w:t>
            </w:r>
          </w:p>
        </w:tc>
        <w:tc>
          <w:tcPr>
            <w:tcW w:w="663"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w:t>
            </w:r>
          </w:p>
        </w:tc>
        <w:tc>
          <w:tcPr>
            <w:tcW w:w="3858" w:type="dxa"/>
          </w:tcPr>
          <w:p w:rsidR="00AF0FF1" w:rsidRPr="005A14CE" w:rsidRDefault="00AF0FF1" w:rsidP="008C1498">
            <w:pPr>
              <w:pStyle w:val="NoSpacing"/>
              <w:rPr>
                <w:rFonts w:ascii="Times New Roman" w:hAnsi="Times New Roman" w:cs="Times New Roman"/>
                <w:color w:val="000000"/>
                <w:sz w:val="28"/>
                <w:szCs w:val="28"/>
              </w:rPr>
            </w:pPr>
          </w:p>
          <w:p w:rsidR="00AF0FF1" w:rsidRPr="005A14CE" w:rsidRDefault="00AF0FF1" w:rsidP="008C1498">
            <w:pPr>
              <w:pStyle w:val="NoSpacing"/>
              <w:rPr>
                <w:rFonts w:ascii="Times New Roman" w:hAnsi="Times New Roman" w:cs="Times New Roman"/>
                <w:sz w:val="28"/>
                <w:szCs w:val="28"/>
              </w:rPr>
            </w:pPr>
            <w:r w:rsidRPr="005A14CE">
              <w:rPr>
                <w:rFonts w:ascii="Times New Roman" w:hAnsi="Times New Roman" w:cs="Times New Roman"/>
                <w:color w:val="000000"/>
                <w:sz w:val="28"/>
                <w:szCs w:val="28"/>
              </w:rPr>
              <w:t>Member Secretary</w:t>
            </w:r>
          </w:p>
        </w:tc>
      </w:tr>
    </w:tbl>
    <w:p w:rsidR="00204ACE" w:rsidRPr="009324DC" w:rsidRDefault="00204ACE" w:rsidP="00176941">
      <w:pPr>
        <w:jc w:val="both"/>
        <w:rPr>
          <w:rFonts w:ascii="Times New Roman" w:hAnsi="Times New Roman" w:cs="Times New Roman"/>
          <w:sz w:val="32"/>
          <w:szCs w:val="28"/>
          <w:u w:val="single"/>
        </w:rPr>
      </w:pPr>
    </w:p>
    <w:p w:rsidR="00176941" w:rsidRPr="005A14CE" w:rsidRDefault="00176941" w:rsidP="00176941">
      <w:pPr>
        <w:jc w:val="both"/>
        <w:rPr>
          <w:rFonts w:ascii="Times New Roman" w:hAnsi="Times New Roman" w:cs="Times New Roman"/>
          <w:b/>
          <w:sz w:val="28"/>
          <w:szCs w:val="28"/>
        </w:rPr>
      </w:pPr>
      <w:r w:rsidRPr="005A14CE">
        <w:rPr>
          <w:rFonts w:ascii="Times New Roman" w:hAnsi="Times New Roman" w:cs="Times New Roman"/>
          <w:b/>
          <w:sz w:val="28"/>
          <w:szCs w:val="28"/>
        </w:rPr>
        <w:t>Item No. 1: Confirmation of the Minutes of the 182</w:t>
      </w:r>
      <w:r w:rsidRPr="005A14CE">
        <w:rPr>
          <w:rFonts w:ascii="Times New Roman" w:hAnsi="Times New Roman" w:cs="Times New Roman"/>
          <w:b/>
          <w:sz w:val="28"/>
          <w:szCs w:val="28"/>
          <w:vertAlign w:val="superscript"/>
        </w:rPr>
        <w:t>nd</w:t>
      </w:r>
      <w:r w:rsidRPr="005A14CE">
        <w:rPr>
          <w:rFonts w:ascii="Times New Roman" w:hAnsi="Times New Roman" w:cs="Times New Roman"/>
          <w:b/>
          <w:sz w:val="28"/>
          <w:szCs w:val="28"/>
        </w:rPr>
        <w:t xml:space="preserve"> meeting of Town &amp; Country Planning Board held on 01/08/2022.</w:t>
      </w:r>
    </w:p>
    <w:p w:rsidR="00480A48" w:rsidRPr="005A14CE" w:rsidRDefault="0019433C" w:rsidP="00480A48">
      <w:pPr>
        <w:pStyle w:val="NoSpacing"/>
        <w:spacing w:line="360" w:lineRule="auto"/>
        <w:ind w:firstLine="720"/>
        <w:jc w:val="both"/>
        <w:rPr>
          <w:rFonts w:ascii="Times New Roman" w:hAnsi="Times New Roman" w:cs="Times New Roman"/>
          <w:sz w:val="28"/>
          <w:szCs w:val="28"/>
        </w:rPr>
      </w:pPr>
      <w:r w:rsidRPr="005A14CE">
        <w:rPr>
          <w:rFonts w:ascii="Times New Roman" w:hAnsi="Times New Roman" w:cs="Times New Roman"/>
          <w:bCs/>
          <w:color w:val="000000" w:themeColor="text1"/>
          <w:sz w:val="28"/>
          <w:szCs w:val="28"/>
        </w:rPr>
        <w:t xml:space="preserve">Member Secretary informed that </w:t>
      </w:r>
      <w:r w:rsidR="00480A48" w:rsidRPr="005A14CE">
        <w:rPr>
          <w:rFonts w:ascii="Times New Roman" w:hAnsi="Times New Roman" w:cs="Times New Roman"/>
          <w:bCs/>
          <w:color w:val="000000" w:themeColor="text1"/>
          <w:sz w:val="28"/>
          <w:szCs w:val="28"/>
        </w:rPr>
        <w:t xml:space="preserve">Minutes of </w:t>
      </w:r>
      <w:r w:rsidR="00480A48" w:rsidRPr="005A14CE">
        <w:rPr>
          <w:rFonts w:ascii="Times New Roman" w:hAnsi="Times New Roman" w:cs="Times New Roman"/>
          <w:sz w:val="28"/>
          <w:szCs w:val="28"/>
        </w:rPr>
        <w:t>182</w:t>
      </w:r>
      <w:r w:rsidR="00480A48" w:rsidRPr="005A14CE">
        <w:rPr>
          <w:rFonts w:ascii="Times New Roman" w:hAnsi="Times New Roman" w:cs="Times New Roman"/>
          <w:sz w:val="28"/>
          <w:szCs w:val="28"/>
          <w:vertAlign w:val="superscript"/>
        </w:rPr>
        <w:t xml:space="preserve">nd </w:t>
      </w:r>
      <w:r w:rsidR="00480A48" w:rsidRPr="005A14CE">
        <w:rPr>
          <w:rFonts w:ascii="Times New Roman" w:hAnsi="Times New Roman" w:cs="Times New Roman"/>
          <w:sz w:val="28"/>
          <w:szCs w:val="28"/>
        </w:rPr>
        <w:t xml:space="preserve"> meeting </w:t>
      </w:r>
      <w:r w:rsidR="00480A48" w:rsidRPr="005A14CE">
        <w:rPr>
          <w:rFonts w:ascii="Times New Roman" w:hAnsi="Times New Roman" w:cs="Times New Roman"/>
          <w:bCs/>
          <w:color w:val="000000" w:themeColor="text1"/>
          <w:sz w:val="28"/>
          <w:szCs w:val="28"/>
        </w:rPr>
        <w:t>of TCP Board held on 01/08</w:t>
      </w:r>
      <w:r w:rsidR="00480A48" w:rsidRPr="005A14CE">
        <w:rPr>
          <w:rFonts w:ascii="Times New Roman" w:hAnsi="Times New Roman" w:cs="Times New Roman"/>
          <w:sz w:val="28"/>
          <w:szCs w:val="28"/>
        </w:rPr>
        <w:t xml:space="preserve">/2022 </w:t>
      </w:r>
      <w:r w:rsidRPr="005A14CE">
        <w:rPr>
          <w:rFonts w:ascii="Times New Roman" w:hAnsi="Times New Roman" w:cs="Times New Roman"/>
          <w:sz w:val="28"/>
          <w:szCs w:val="28"/>
        </w:rPr>
        <w:t xml:space="preserve">are prepared and the same </w:t>
      </w:r>
      <w:r w:rsidR="00480A48" w:rsidRPr="005A14CE">
        <w:rPr>
          <w:rFonts w:ascii="Times New Roman" w:hAnsi="Times New Roman" w:cs="Times New Roman"/>
          <w:sz w:val="28"/>
          <w:szCs w:val="28"/>
        </w:rPr>
        <w:t>were</w:t>
      </w:r>
      <w:r w:rsidR="00480A48" w:rsidRPr="005A14CE">
        <w:rPr>
          <w:rFonts w:ascii="Times New Roman" w:hAnsi="Times New Roman" w:cs="Times New Roman"/>
          <w:bCs/>
          <w:color w:val="000000" w:themeColor="text1"/>
          <w:sz w:val="28"/>
          <w:szCs w:val="28"/>
        </w:rPr>
        <w:t xml:space="preserve"> placed before the Board for confirmation. </w:t>
      </w:r>
    </w:p>
    <w:p w:rsidR="0019433C" w:rsidRPr="005A14CE" w:rsidRDefault="0019433C" w:rsidP="0019433C">
      <w:pPr>
        <w:pStyle w:val="NoSpacing"/>
        <w:ind w:firstLine="720"/>
        <w:jc w:val="both"/>
        <w:rPr>
          <w:rFonts w:ascii="Times New Roman" w:hAnsi="Times New Roman" w:cs="Times New Roman"/>
          <w:sz w:val="28"/>
          <w:szCs w:val="28"/>
        </w:rPr>
      </w:pPr>
    </w:p>
    <w:p w:rsidR="00B13BAD" w:rsidRPr="005A14CE" w:rsidRDefault="0019433C" w:rsidP="00176941">
      <w:pPr>
        <w:pStyle w:val="BodyText3"/>
        <w:spacing w:after="200" w:line="360" w:lineRule="auto"/>
        <w:ind w:firstLine="720"/>
        <w:jc w:val="both"/>
        <w:rPr>
          <w:bCs/>
          <w:color w:val="000000" w:themeColor="text1"/>
          <w:sz w:val="28"/>
          <w:szCs w:val="28"/>
        </w:rPr>
      </w:pPr>
      <w:r w:rsidRPr="005A14CE">
        <w:rPr>
          <w:bCs/>
          <w:color w:val="000000" w:themeColor="text1"/>
          <w:sz w:val="28"/>
          <w:szCs w:val="28"/>
        </w:rPr>
        <w:t xml:space="preserve">During the discussion on the same, </w:t>
      </w:r>
      <w:r w:rsidR="00381CE9" w:rsidRPr="005A14CE">
        <w:rPr>
          <w:bCs/>
          <w:color w:val="000000" w:themeColor="text1"/>
          <w:sz w:val="28"/>
          <w:szCs w:val="28"/>
        </w:rPr>
        <w:t xml:space="preserve">Member Shri. Akash </w:t>
      </w:r>
      <w:r w:rsidR="002B0D54" w:rsidRPr="005A14CE">
        <w:rPr>
          <w:bCs/>
          <w:color w:val="000000" w:themeColor="text1"/>
          <w:sz w:val="28"/>
          <w:szCs w:val="28"/>
        </w:rPr>
        <w:t>Khaunte</w:t>
      </w:r>
      <w:r w:rsidR="00381CE9" w:rsidRPr="005A14CE">
        <w:rPr>
          <w:bCs/>
          <w:color w:val="000000" w:themeColor="text1"/>
          <w:sz w:val="28"/>
          <w:szCs w:val="28"/>
        </w:rPr>
        <w:t>, Special Invitee</w:t>
      </w:r>
      <w:r w:rsidRPr="005A14CE">
        <w:rPr>
          <w:bCs/>
          <w:color w:val="000000" w:themeColor="text1"/>
          <w:sz w:val="28"/>
          <w:szCs w:val="28"/>
        </w:rPr>
        <w:t xml:space="preserve">, brought to the notice of the Board </w:t>
      </w:r>
      <w:r w:rsidR="005749C6" w:rsidRPr="005A14CE">
        <w:rPr>
          <w:bCs/>
          <w:color w:val="000000" w:themeColor="text1"/>
          <w:sz w:val="28"/>
          <w:szCs w:val="28"/>
        </w:rPr>
        <w:t xml:space="preserve">that </w:t>
      </w:r>
      <w:r w:rsidRPr="005A14CE">
        <w:rPr>
          <w:bCs/>
          <w:color w:val="000000" w:themeColor="text1"/>
          <w:sz w:val="28"/>
          <w:szCs w:val="28"/>
        </w:rPr>
        <w:t>in 182</w:t>
      </w:r>
      <w:r w:rsidRPr="005A14CE">
        <w:rPr>
          <w:bCs/>
          <w:color w:val="000000" w:themeColor="text1"/>
          <w:sz w:val="28"/>
          <w:szCs w:val="28"/>
          <w:vertAlign w:val="superscript"/>
        </w:rPr>
        <w:t>nd</w:t>
      </w:r>
      <w:r w:rsidRPr="005A14CE">
        <w:rPr>
          <w:bCs/>
          <w:color w:val="000000" w:themeColor="text1"/>
          <w:sz w:val="28"/>
          <w:szCs w:val="28"/>
        </w:rPr>
        <w:t xml:space="preserve"> meeting, while deliberating on agenda item No. </w:t>
      </w:r>
      <w:r w:rsidR="009F269A" w:rsidRPr="005A14CE">
        <w:rPr>
          <w:bCs/>
          <w:color w:val="000000" w:themeColor="text1"/>
          <w:sz w:val="28"/>
          <w:szCs w:val="28"/>
        </w:rPr>
        <w:t>5,</w:t>
      </w:r>
      <w:r w:rsidRPr="005A14CE">
        <w:rPr>
          <w:bCs/>
          <w:color w:val="000000" w:themeColor="text1"/>
          <w:sz w:val="28"/>
          <w:szCs w:val="28"/>
        </w:rPr>
        <w:t xml:space="preserve"> it was decided that  provision under regulation 12.7 of the Goa Land Development &amp; Building Construction Regulations, 2010, </w:t>
      </w:r>
      <w:r w:rsidR="00B13BAD" w:rsidRPr="005A14CE">
        <w:rPr>
          <w:sz w:val="28"/>
          <w:szCs w:val="28"/>
        </w:rPr>
        <w:t>regarding  amenities and  utilities to be provided such as  schools, community centres, commercial centres, etc. for properties involving area more than 5 hac., shall be removed.</w:t>
      </w:r>
    </w:p>
    <w:p w:rsidR="0019433C" w:rsidRPr="005A14CE" w:rsidRDefault="0019433C" w:rsidP="00176941">
      <w:pPr>
        <w:pStyle w:val="BodyText3"/>
        <w:spacing w:after="200" w:line="360" w:lineRule="auto"/>
        <w:ind w:firstLine="720"/>
        <w:jc w:val="both"/>
        <w:rPr>
          <w:sz w:val="28"/>
          <w:szCs w:val="28"/>
        </w:rPr>
      </w:pPr>
      <w:r w:rsidRPr="005A14CE">
        <w:rPr>
          <w:sz w:val="28"/>
          <w:szCs w:val="28"/>
        </w:rPr>
        <w:t xml:space="preserve">The </w:t>
      </w:r>
      <w:r w:rsidR="00D87F58" w:rsidRPr="005A14CE">
        <w:rPr>
          <w:sz w:val="28"/>
          <w:szCs w:val="28"/>
        </w:rPr>
        <w:t>Board</w:t>
      </w:r>
      <w:r w:rsidRPr="005A14CE">
        <w:rPr>
          <w:sz w:val="28"/>
          <w:szCs w:val="28"/>
        </w:rPr>
        <w:t xml:space="preserve"> took note of the same and accordingly </w:t>
      </w:r>
      <w:r w:rsidR="00195C15" w:rsidRPr="005A14CE">
        <w:rPr>
          <w:sz w:val="28"/>
          <w:szCs w:val="28"/>
        </w:rPr>
        <w:t>M</w:t>
      </w:r>
      <w:r w:rsidRPr="005A14CE">
        <w:rPr>
          <w:sz w:val="28"/>
          <w:szCs w:val="28"/>
        </w:rPr>
        <w:t xml:space="preserve">inutes of </w:t>
      </w:r>
      <w:r w:rsidR="00466E14" w:rsidRPr="005A14CE">
        <w:rPr>
          <w:sz w:val="28"/>
          <w:szCs w:val="28"/>
        </w:rPr>
        <w:t xml:space="preserve">item No. 5 </w:t>
      </w:r>
      <w:r w:rsidRPr="005A14CE">
        <w:rPr>
          <w:sz w:val="28"/>
          <w:szCs w:val="28"/>
        </w:rPr>
        <w:t xml:space="preserve">were confirmed with </w:t>
      </w:r>
      <w:r w:rsidR="00651429" w:rsidRPr="005A14CE">
        <w:rPr>
          <w:sz w:val="28"/>
          <w:szCs w:val="28"/>
        </w:rPr>
        <w:t>revision</w:t>
      </w:r>
      <w:r w:rsidRPr="005A14CE">
        <w:rPr>
          <w:sz w:val="28"/>
          <w:szCs w:val="28"/>
        </w:rPr>
        <w:t xml:space="preserve"> as </w:t>
      </w:r>
      <w:r w:rsidR="00651429" w:rsidRPr="005A14CE">
        <w:rPr>
          <w:sz w:val="28"/>
          <w:szCs w:val="28"/>
        </w:rPr>
        <w:t>under:</w:t>
      </w:r>
    </w:p>
    <w:p w:rsidR="00797817" w:rsidRPr="005A14CE" w:rsidRDefault="00B76AEE" w:rsidP="00797817">
      <w:pPr>
        <w:spacing w:line="240" w:lineRule="auto"/>
        <w:jc w:val="both"/>
        <w:rPr>
          <w:rFonts w:ascii="Times New Roman" w:hAnsi="Times New Roman" w:cs="Times New Roman"/>
          <w:b/>
          <w:i/>
          <w:sz w:val="28"/>
          <w:szCs w:val="28"/>
        </w:rPr>
      </w:pPr>
      <w:r w:rsidRPr="005A14CE">
        <w:rPr>
          <w:rFonts w:ascii="Times New Roman" w:hAnsi="Times New Roman" w:cs="Times New Roman"/>
          <w:b/>
          <w:i/>
          <w:sz w:val="28"/>
          <w:szCs w:val="28"/>
        </w:rPr>
        <w:t xml:space="preserve"> </w:t>
      </w:r>
      <w:r w:rsidR="00797817" w:rsidRPr="005A14CE">
        <w:rPr>
          <w:rFonts w:ascii="Times New Roman" w:hAnsi="Times New Roman" w:cs="Times New Roman"/>
          <w:b/>
          <w:i/>
          <w:sz w:val="28"/>
          <w:szCs w:val="28"/>
        </w:rPr>
        <w:t xml:space="preserve">“Item No. 5: Regulations  for sub-division of land notified under the Goa Land Development &amp; Building Construction Regulations, 2010 with regards to provision of public utilities/amenities.  </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Member Secretary informed that the Goa Land Development &amp; Building Construction Regulations, 2010 specifies regulations for all sizes of plots and the said regulations specifically include the provisions for the following:</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Right of ways for the roads.</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Surface and  strong water drainage</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Regulation regarding sloping sites</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Regulation regarding open spaces</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Requirement for development of plots, open spaces and roads</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Minimum width of plots</w:t>
      </w:r>
    </w:p>
    <w:p w:rsidR="00797817" w:rsidRPr="005A14CE" w:rsidRDefault="00797817" w:rsidP="00797817">
      <w:pPr>
        <w:pStyle w:val="ListParagraph"/>
        <w:numPr>
          <w:ilvl w:val="0"/>
          <w:numId w:val="4"/>
        </w:numPr>
        <w:spacing w:after="200" w:line="360" w:lineRule="auto"/>
        <w:jc w:val="both"/>
        <w:rPr>
          <w:i/>
          <w:sz w:val="28"/>
          <w:szCs w:val="28"/>
        </w:rPr>
      </w:pPr>
      <w:r w:rsidRPr="005A14CE">
        <w:rPr>
          <w:i/>
          <w:sz w:val="28"/>
          <w:szCs w:val="28"/>
        </w:rPr>
        <w:t>Minimum width of roads and other regulations.</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lastRenderedPageBreak/>
        <w:t>It was informed that there is different set of regulation for sub-division of land for the plots having area more than 5 hac, in which case, 5% of the total plot area is required to be reserved for a provision of amenities and  utilities,  schools, community halls, commercial centres, etc.  In addition to the above, whenever the plot area exceeds 5 hac., the development  is  subject to other   special conditions  in connection with, drainage, garbage and  waste disposal, water supply and other requirement, amenities, commercial facilities, etc.</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Member Secretary informed that  for sub-division of land  involving properties having area of more than 5 hac., provision for additional facilities such as drainage, garbage and waste disposal etc.  are therefore made, whereas provision of such facilities is not mandatory  under the regulations for the properties involving sub-division of land having area less than 5 hac.  Thus it is observed that no specific areas are earmarked for such essential facilities like garbage and waste disposal etc. for the sub-division involving  land having area less than 5 hac. It was therefore observed that the beneficiaries of such sub-division of plots involving area less than 5 hac. are deprived of such common facilities and there is intense problem of garbage management in such areas, as the plot owners  has to rely only upon facilities provided in this regard by local authorities.</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The Government has issued various guidelines and conditions for effective management of garbage, which presently is burning issue of the State and this issue of garbage management is also monitored by courts of law and various orders in this regard have also been issued to the local authorities.</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The Board took serious concern of the matter and upon deliberation, it was decided that facilities like garbage disposal area, installation of transformer, etc. shall be made compulsory for any sub-division of land having area more than 4000 sq. mts. It was also decided that such facilities could also be installed and provided within the open space which otherwise is compulsory to the extent of 15% of the area of the plot wherein area of the sub-divided property exceeds 4000 m2.</w:t>
      </w:r>
    </w:p>
    <w:p w:rsidR="00797817" w:rsidRPr="005A14CE" w:rsidRDefault="00797817" w:rsidP="0079781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lastRenderedPageBreak/>
        <w:t xml:space="preserve">The Board also opined that during the grant of permission, the Department shall strictly check about appropriate location of area reserved for such facilities to ensure that such facilities are located at convenient place for the local Authorities/Departments to manage it. </w:t>
      </w:r>
    </w:p>
    <w:p w:rsidR="006F4207" w:rsidRPr="005A14CE" w:rsidRDefault="006F4207" w:rsidP="006F4207">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 xml:space="preserve">Chief Town Planner (Administration) was accordingly directed to issue necessary instructions to all the Taluka Offices/PDAs in this regard.” </w:t>
      </w:r>
    </w:p>
    <w:p w:rsidR="00A907AB" w:rsidRPr="005A14CE" w:rsidRDefault="00A907AB" w:rsidP="00A907AB">
      <w:pPr>
        <w:pStyle w:val="BodyText3"/>
        <w:spacing w:after="200" w:line="360" w:lineRule="auto"/>
        <w:ind w:firstLine="720"/>
        <w:jc w:val="both"/>
        <w:rPr>
          <w:i/>
          <w:sz w:val="28"/>
          <w:szCs w:val="28"/>
        </w:rPr>
      </w:pPr>
      <w:r w:rsidRPr="005A14CE">
        <w:rPr>
          <w:bCs/>
          <w:i/>
          <w:color w:val="000000" w:themeColor="text1"/>
          <w:sz w:val="28"/>
          <w:szCs w:val="28"/>
        </w:rPr>
        <w:t xml:space="preserve">Deliberation on regulation 12.7 of the Goa Land Development &amp; Building Construction Regulations, 2010, </w:t>
      </w:r>
      <w:r w:rsidRPr="005A14CE">
        <w:rPr>
          <w:i/>
          <w:sz w:val="28"/>
          <w:szCs w:val="28"/>
        </w:rPr>
        <w:t>regarding  amenities and  utilities to be provided such as  schools, community centres, commercial centres, etc. for properties involving area more than 5 hac. was also held and it was observed that there are usually no takers for such plots for providing such facilities of schools, community centres, commercial centres, etc. and as a result these plots remains unsold.</w:t>
      </w:r>
    </w:p>
    <w:p w:rsidR="00A907AB" w:rsidRPr="005A14CE" w:rsidRDefault="00A907AB" w:rsidP="00A907AB">
      <w:pPr>
        <w:pStyle w:val="BodyText3"/>
        <w:spacing w:after="200" w:line="360" w:lineRule="auto"/>
        <w:ind w:firstLine="720"/>
        <w:jc w:val="both"/>
        <w:rPr>
          <w:i/>
          <w:sz w:val="28"/>
          <w:szCs w:val="28"/>
        </w:rPr>
      </w:pPr>
      <w:r w:rsidRPr="005A14CE">
        <w:rPr>
          <w:i/>
          <w:sz w:val="28"/>
          <w:szCs w:val="28"/>
        </w:rPr>
        <w:t>The Board took note of the same and considering related issues, it was decided that regulation 12.7 of GLDBCR-2010 shall be amended by removing the compulsion of providing 5% utility space for schools, community centres, commercial centres, etc., for the properties involving sub-division of land exceeding 5 hac.</w:t>
      </w:r>
    </w:p>
    <w:p w:rsidR="00027716" w:rsidRPr="005A14CE" w:rsidRDefault="00027716" w:rsidP="00027716">
      <w:pPr>
        <w:spacing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 xml:space="preserve">Chief Town Planner (Administration) was accordingly directed to initiate further procedure in this regard. </w:t>
      </w:r>
    </w:p>
    <w:p w:rsidR="00CD2531" w:rsidRPr="005A14CE" w:rsidRDefault="00466E14" w:rsidP="00466E14">
      <w:pPr>
        <w:pStyle w:val="BodyText3"/>
        <w:spacing w:after="200" w:line="360" w:lineRule="auto"/>
        <w:ind w:firstLine="720"/>
        <w:jc w:val="both"/>
        <w:rPr>
          <w:sz w:val="28"/>
          <w:szCs w:val="28"/>
        </w:rPr>
      </w:pPr>
      <w:r w:rsidRPr="005A14CE">
        <w:rPr>
          <w:sz w:val="28"/>
          <w:szCs w:val="28"/>
        </w:rPr>
        <w:t>Further</w:t>
      </w:r>
      <w:r w:rsidR="00CD2531" w:rsidRPr="005A14CE">
        <w:rPr>
          <w:sz w:val="28"/>
          <w:szCs w:val="28"/>
        </w:rPr>
        <w:t>,</w:t>
      </w:r>
      <w:r w:rsidRPr="005A14CE">
        <w:rPr>
          <w:sz w:val="28"/>
          <w:szCs w:val="28"/>
        </w:rPr>
        <w:t xml:space="preserve"> as regards to item No. 7 as discussed in 182</w:t>
      </w:r>
      <w:r w:rsidRPr="005A14CE">
        <w:rPr>
          <w:sz w:val="28"/>
          <w:szCs w:val="28"/>
          <w:vertAlign w:val="superscript"/>
        </w:rPr>
        <w:t>nd</w:t>
      </w:r>
      <w:r w:rsidRPr="005A14CE">
        <w:rPr>
          <w:sz w:val="28"/>
          <w:szCs w:val="28"/>
        </w:rPr>
        <w:t xml:space="preserve">  meeting held on 1/8/2022, </w:t>
      </w:r>
      <w:r w:rsidR="00F808ED" w:rsidRPr="005A14CE">
        <w:rPr>
          <w:sz w:val="28"/>
          <w:szCs w:val="28"/>
        </w:rPr>
        <w:t xml:space="preserve">Member Secretary brought to the notice of </w:t>
      </w:r>
      <w:r w:rsidRPr="005A14CE">
        <w:rPr>
          <w:sz w:val="28"/>
          <w:szCs w:val="28"/>
        </w:rPr>
        <w:t xml:space="preserve">the Board that during deliberation, it was specifically </w:t>
      </w:r>
      <w:r w:rsidR="00F808ED" w:rsidRPr="005A14CE">
        <w:rPr>
          <w:sz w:val="28"/>
          <w:szCs w:val="28"/>
        </w:rPr>
        <w:t>decided</w:t>
      </w:r>
      <w:r w:rsidRPr="005A14CE">
        <w:rPr>
          <w:sz w:val="28"/>
          <w:szCs w:val="28"/>
        </w:rPr>
        <w:t xml:space="preserve"> </w:t>
      </w:r>
      <w:r w:rsidR="00CD2531" w:rsidRPr="005A14CE">
        <w:rPr>
          <w:sz w:val="28"/>
          <w:szCs w:val="28"/>
        </w:rPr>
        <w:t xml:space="preserve">that </w:t>
      </w:r>
      <w:r w:rsidR="00F808ED" w:rsidRPr="005A14CE">
        <w:rPr>
          <w:sz w:val="28"/>
          <w:szCs w:val="28"/>
        </w:rPr>
        <w:t xml:space="preserve">for the purpose of developing Transfer Oriented Development (TOD) and for the purpose of consideration of TDR policy, only NH-66 and NH-4A </w:t>
      </w:r>
      <w:r w:rsidR="00D85E29" w:rsidRPr="005A14CE">
        <w:rPr>
          <w:sz w:val="28"/>
          <w:szCs w:val="28"/>
        </w:rPr>
        <w:t>were to</w:t>
      </w:r>
      <w:r w:rsidR="00F808ED" w:rsidRPr="005A14CE">
        <w:rPr>
          <w:sz w:val="28"/>
          <w:szCs w:val="28"/>
        </w:rPr>
        <w:t xml:space="preserve"> be considered and the mention of the same was inadvertently missed.</w:t>
      </w:r>
      <w:r w:rsidRPr="005A14CE">
        <w:rPr>
          <w:sz w:val="28"/>
          <w:szCs w:val="28"/>
        </w:rPr>
        <w:t xml:space="preserve">  </w:t>
      </w:r>
    </w:p>
    <w:p w:rsidR="00466E14" w:rsidRPr="005A14CE" w:rsidRDefault="00466E14" w:rsidP="00466E14">
      <w:pPr>
        <w:pStyle w:val="BodyText3"/>
        <w:spacing w:after="200" w:line="360" w:lineRule="auto"/>
        <w:ind w:firstLine="720"/>
        <w:jc w:val="both"/>
        <w:rPr>
          <w:sz w:val="28"/>
          <w:szCs w:val="28"/>
        </w:rPr>
      </w:pPr>
      <w:r w:rsidRPr="005A14CE">
        <w:rPr>
          <w:sz w:val="28"/>
          <w:szCs w:val="28"/>
        </w:rPr>
        <w:t xml:space="preserve">The Board took note of the same and accordingly </w:t>
      </w:r>
      <w:r w:rsidR="00195C15" w:rsidRPr="005A14CE">
        <w:rPr>
          <w:sz w:val="28"/>
          <w:szCs w:val="28"/>
        </w:rPr>
        <w:t>M</w:t>
      </w:r>
      <w:r w:rsidRPr="005A14CE">
        <w:rPr>
          <w:sz w:val="28"/>
          <w:szCs w:val="28"/>
        </w:rPr>
        <w:t xml:space="preserve">inutes of item No. </w:t>
      </w:r>
      <w:r w:rsidR="00CD2531" w:rsidRPr="005A14CE">
        <w:rPr>
          <w:sz w:val="28"/>
          <w:szCs w:val="28"/>
        </w:rPr>
        <w:t>7</w:t>
      </w:r>
      <w:r w:rsidRPr="005A14CE">
        <w:rPr>
          <w:sz w:val="28"/>
          <w:szCs w:val="28"/>
        </w:rPr>
        <w:t xml:space="preserve"> were confirmed with revision as under:</w:t>
      </w:r>
    </w:p>
    <w:p w:rsidR="00CD2531" w:rsidRPr="005A14CE" w:rsidRDefault="00CD2531" w:rsidP="00CD2531">
      <w:pPr>
        <w:spacing w:after="200" w:line="240" w:lineRule="auto"/>
        <w:jc w:val="both"/>
        <w:rPr>
          <w:rFonts w:ascii="Times New Roman" w:hAnsi="Times New Roman" w:cs="Times New Roman"/>
          <w:b/>
          <w:i/>
          <w:sz w:val="28"/>
          <w:szCs w:val="28"/>
        </w:rPr>
      </w:pPr>
      <w:r w:rsidRPr="005A14CE">
        <w:rPr>
          <w:rFonts w:ascii="Times New Roman" w:hAnsi="Times New Roman" w:cs="Times New Roman"/>
          <w:b/>
          <w:i/>
          <w:sz w:val="28"/>
          <w:szCs w:val="28"/>
        </w:rPr>
        <w:t xml:space="preserve">Item No. 7:  TDR Policy for Transit Oriented Corridors/along National Highway. </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 xml:space="preserve">The Board acknowledged that Goa has a well developed road network of National Highway, State Highways and Major District Roads which </w:t>
      </w:r>
      <w:r w:rsidRPr="005A14CE">
        <w:rPr>
          <w:rFonts w:ascii="Times New Roman" w:hAnsi="Times New Roman" w:cs="Times New Roman"/>
          <w:i/>
          <w:sz w:val="28"/>
          <w:szCs w:val="28"/>
        </w:rPr>
        <w:lastRenderedPageBreak/>
        <w:t>provides good connectivity between major Bus Terminals, major Railway stations and Airports and therefore Planning needs to be focused along these Transit Corridors.</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 xml:space="preserve">It was deliberated and expressed that Goa is witnessing linear development along major roads and considering undevelopable zones and lower FAR allotted to villages under RP Policy, allocating higher FAR and permitting high density development along such Transit corridors could be an effective tool to contain urban sprawl and for economic growth of urban as well as rural areas and which could be achieved by planned concentration of commercial and residential activities  in the villages/connected by National Highways and Railways. </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Board was informed about the bye-pass road proposed from Colvale to Bali, through Thivim, Bicholim, Sangquelim, Dharbandora, Savordem and Quepem and that the villages along this new proposed road have been categorized as VP-1 villages, based on this concept.  Board was of the opinion that villages  and towns having good connectivity by way of important transport corridors could be  considered as receiving areas of TDR.</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Board deliberated at length on the subject and issues concerned and decided that a policy for Transit Oriented Development (TOD) need to be framed alongwith TDR policy.</w:t>
      </w:r>
    </w:p>
    <w:p w:rsidR="00D85E29" w:rsidRPr="005A14CE" w:rsidRDefault="00A907AB"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I</w:t>
      </w:r>
      <w:r w:rsidR="00D85E29" w:rsidRPr="005A14CE">
        <w:rPr>
          <w:rFonts w:ascii="Times New Roman" w:hAnsi="Times New Roman" w:cs="Times New Roman"/>
          <w:i/>
          <w:sz w:val="28"/>
          <w:szCs w:val="28"/>
        </w:rPr>
        <w:t>t was specifically decided that for the purpose of developing Transfer Oriented Development (TOD) and for the purpose of consideration of TDR policy, only NH-66 and NH-4A were to be considered</w:t>
      </w:r>
      <w:r w:rsidRPr="005A14CE">
        <w:rPr>
          <w:rFonts w:ascii="Times New Roman" w:hAnsi="Times New Roman" w:cs="Times New Roman"/>
          <w:i/>
          <w:sz w:val="28"/>
          <w:szCs w:val="28"/>
        </w:rPr>
        <w:t>.</w:t>
      </w:r>
      <w:r w:rsidR="00D85E29" w:rsidRPr="005A14CE">
        <w:rPr>
          <w:rFonts w:ascii="Times New Roman" w:hAnsi="Times New Roman" w:cs="Times New Roman"/>
          <w:i/>
          <w:sz w:val="28"/>
          <w:szCs w:val="28"/>
        </w:rPr>
        <w:t xml:space="preserve"> </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Board also decided that consultancy services shall be taken to involve the consultants/experts in the planning field for identifying such receiving and sending areas along these transit corridors.</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t>Board also decided that the sub-committee constituted in its 180</w:t>
      </w:r>
      <w:r w:rsidRPr="005A14CE">
        <w:rPr>
          <w:rFonts w:ascii="Times New Roman" w:hAnsi="Times New Roman" w:cs="Times New Roman"/>
          <w:i/>
          <w:sz w:val="28"/>
          <w:szCs w:val="28"/>
          <w:vertAlign w:val="superscript"/>
        </w:rPr>
        <w:t>th</w:t>
      </w:r>
      <w:r w:rsidRPr="005A14CE">
        <w:rPr>
          <w:rFonts w:ascii="Times New Roman" w:hAnsi="Times New Roman" w:cs="Times New Roman"/>
          <w:i/>
          <w:sz w:val="28"/>
          <w:szCs w:val="28"/>
        </w:rPr>
        <w:t xml:space="preserve"> (Adj.) meeting held on 17/06/2022 under item No. 1 shall further work on this concept.  </w:t>
      </w:r>
    </w:p>
    <w:p w:rsidR="00CD2531" w:rsidRPr="005A14CE" w:rsidRDefault="00CD2531" w:rsidP="00CD2531">
      <w:pPr>
        <w:spacing w:after="200" w:line="360" w:lineRule="auto"/>
        <w:ind w:firstLine="720"/>
        <w:jc w:val="both"/>
        <w:rPr>
          <w:rFonts w:ascii="Times New Roman" w:hAnsi="Times New Roman" w:cs="Times New Roman"/>
          <w:i/>
          <w:sz w:val="28"/>
          <w:szCs w:val="28"/>
        </w:rPr>
      </w:pPr>
      <w:r w:rsidRPr="005A14CE">
        <w:rPr>
          <w:rFonts w:ascii="Times New Roman" w:hAnsi="Times New Roman" w:cs="Times New Roman"/>
          <w:i/>
          <w:sz w:val="28"/>
          <w:szCs w:val="28"/>
        </w:rPr>
        <w:lastRenderedPageBreak/>
        <w:t>During the discussion, it was also decided that Adv. Nilesh Amonkar, who is the Special Invitee for the Board meetings, shall also be appointed on the  said committee constituted for the purpose.</w:t>
      </w:r>
    </w:p>
    <w:p w:rsidR="00176941" w:rsidRPr="005A14CE" w:rsidRDefault="00027716" w:rsidP="00027716">
      <w:pPr>
        <w:pStyle w:val="BodyText3"/>
        <w:spacing w:after="200" w:line="360" w:lineRule="auto"/>
        <w:ind w:firstLine="720"/>
        <w:jc w:val="both"/>
        <w:rPr>
          <w:bCs/>
          <w:color w:val="000000" w:themeColor="text1"/>
          <w:sz w:val="28"/>
          <w:szCs w:val="28"/>
        </w:rPr>
      </w:pPr>
      <w:r w:rsidRPr="005A14CE">
        <w:rPr>
          <w:bCs/>
          <w:color w:val="000000" w:themeColor="text1"/>
          <w:sz w:val="28"/>
          <w:szCs w:val="28"/>
        </w:rPr>
        <w:t>With the correction to item No. 5 and 7 as above, the Board confirmed the Minutes of 182</w:t>
      </w:r>
      <w:r w:rsidRPr="005A14CE">
        <w:rPr>
          <w:bCs/>
          <w:color w:val="000000" w:themeColor="text1"/>
          <w:sz w:val="28"/>
          <w:szCs w:val="28"/>
          <w:vertAlign w:val="superscript"/>
        </w:rPr>
        <w:t>nd</w:t>
      </w:r>
      <w:r w:rsidRPr="005A14CE">
        <w:rPr>
          <w:bCs/>
          <w:color w:val="000000" w:themeColor="text1"/>
          <w:sz w:val="28"/>
          <w:szCs w:val="28"/>
        </w:rPr>
        <w:t xml:space="preserve"> TCP Board Meeting held on </w:t>
      </w:r>
      <w:r w:rsidR="005A14CE">
        <w:rPr>
          <w:bCs/>
          <w:color w:val="000000" w:themeColor="text1"/>
          <w:sz w:val="28"/>
          <w:szCs w:val="28"/>
        </w:rPr>
        <w:t>0</w:t>
      </w:r>
      <w:r w:rsidRPr="005A14CE">
        <w:rPr>
          <w:bCs/>
          <w:color w:val="000000" w:themeColor="text1"/>
          <w:sz w:val="28"/>
          <w:szCs w:val="28"/>
        </w:rPr>
        <w:t>1/8/2022.</w:t>
      </w:r>
    </w:p>
    <w:p w:rsidR="00027716" w:rsidRPr="005A14CE" w:rsidRDefault="00027716">
      <w:pPr>
        <w:spacing w:after="200" w:line="276" w:lineRule="auto"/>
        <w:rPr>
          <w:rFonts w:ascii="Times New Roman" w:hAnsi="Times New Roman" w:cs="Times New Roman"/>
          <w:b/>
          <w:sz w:val="28"/>
          <w:szCs w:val="28"/>
        </w:rPr>
      </w:pPr>
    </w:p>
    <w:p w:rsidR="00176941" w:rsidRPr="005A14CE" w:rsidRDefault="00176941" w:rsidP="00176941">
      <w:pPr>
        <w:jc w:val="both"/>
        <w:rPr>
          <w:rFonts w:ascii="Times New Roman" w:hAnsi="Times New Roman" w:cs="Times New Roman"/>
          <w:b/>
          <w:sz w:val="28"/>
          <w:szCs w:val="28"/>
        </w:rPr>
      </w:pPr>
      <w:r w:rsidRPr="005A14CE">
        <w:rPr>
          <w:rFonts w:ascii="Times New Roman" w:hAnsi="Times New Roman" w:cs="Times New Roman"/>
          <w:b/>
          <w:sz w:val="28"/>
          <w:szCs w:val="28"/>
        </w:rPr>
        <w:t xml:space="preserve">Item No. 2:  Appeal under Section 45 of the TCP Act, 1974 filed by Mr. Harish Dhirajlal Rajani and Mrs. Sharmila Harish Rajani against Greater Panaji Planning and Development Authority. </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informed that the present Appeal is filed by Appellants Mr. Harish Dhirajlal Rajani and Mrs. Sharmila Harish Rajani</w:t>
      </w:r>
      <w:r w:rsidRPr="005A14CE">
        <w:rPr>
          <w:rFonts w:ascii="Times New Roman" w:hAnsi="Times New Roman" w:cs="Times New Roman"/>
          <w:b/>
          <w:sz w:val="28"/>
          <w:szCs w:val="28"/>
        </w:rPr>
        <w:t xml:space="preserve"> </w:t>
      </w:r>
      <w:r w:rsidRPr="005A14CE">
        <w:rPr>
          <w:rFonts w:ascii="Times New Roman" w:hAnsi="Times New Roman" w:cs="Times New Roman"/>
          <w:sz w:val="28"/>
          <w:szCs w:val="28"/>
        </w:rPr>
        <w:t>against the impugned decision of Authority to reject the revised proposal/plans submitted by them for construction of two additional floors i.e. 7</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and 8</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floor to the existing building at property bearing Chalta No. 271-A, 272 to 289, 289-A and 290 of P.T. Sheet No. 36 situated at Panaji City. </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It was informed that the appeal memo states that the Appellants are the owners in possession of the landed properties situated under Chalta No. 271-A, 272 to 289-A and 290-A of the P.T. Sheet No. 36 situated at Panaji City. Appellants have purchased the said properties vide Deeds of Sale dated 09/02/2011 and 04/10/2013 from its erstwhile owner in order to construct the commercial building in the said properties.</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Appellants states that the then North Goa Planning and Development Authority after having considered their Application vide Order dated 01/10/2013, issued Development Permission for revised Plans for construction of the commercial building in the said properties and thereafter they obtained the Construction License dated 04/11/2013 from the Corporation of City of Panaji for the construction of the said commercial building.  Accordingly, the Appellants have undertaken construction of the said commercial building in the said properties in terms of the approved plans granted by the North Goa Planning and Development Authority as well as Corporation of City of Panaji and thereafter the Appellants have obtained the Completion Certificate dated 27/04/2017 from North Goa PDA </w:t>
      </w:r>
      <w:r w:rsidRPr="005A14CE">
        <w:rPr>
          <w:rFonts w:ascii="Times New Roman" w:hAnsi="Times New Roman" w:cs="Times New Roman"/>
          <w:sz w:val="28"/>
          <w:szCs w:val="28"/>
        </w:rPr>
        <w:lastRenderedPageBreak/>
        <w:t>and also obtained the Occupancy Certificate from the Corporation of City Panaji for the lower basement, upper basement (parking), Ground, First, Second, Third, Fourth, Fifth and Sixth floors for the shops/offices/</w:t>
      </w:r>
      <w:r w:rsidR="00195C15" w:rsidRPr="005A14CE">
        <w:rPr>
          <w:rFonts w:ascii="Times New Roman" w:hAnsi="Times New Roman" w:cs="Times New Roman"/>
          <w:sz w:val="28"/>
          <w:szCs w:val="28"/>
        </w:rPr>
        <w:t>r</w:t>
      </w:r>
      <w:r w:rsidRPr="005A14CE">
        <w:rPr>
          <w:rFonts w:ascii="Times New Roman" w:hAnsi="Times New Roman" w:cs="Times New Roman"/>
          <w:sz w:val="28"/>
          <w:szCs w:val="28"/>
        </w:rPr>
        <w:t>estaurants.</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Appellants have brought on records that subsequently, the Government vide Notification, brought the Planning Area of Panaji under the jurisdiction of Greater Panaji Planning and Development Authority.</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Appellants further states that they proposed to construct two additional floors as per the available FAR to the said building and accordingly, vide application dated 14/01/2019, applied for construction of additional two floors i.e. seventh and eight floors to the already existing building having six floors and their application was complying with the applicable regulations and hence the development was completed in all respect.</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Appellants states that the Respondent Authority i.e. Greater Panaji PDA kept the application pending for more than three years and suddenly informed the Appellants vide their letter dated 04/08/2022, that the Authority cannot consider their proposal, as the ODP </w:t>
      </w:r>
      <w:r w:rsidR="00195C15" w:rsidRPr="005A14CE">
        <w:rPr>
          <w:rFonts w:ascii="Times New Roman" w:hAnsi="Times New Roman" w:cs="Times New Roman"/>
          <w:sz w:val="28"/>
          <w:szCs w:val="28"/>
        </w:rPr>
        <w:t xml:space="preserve">- </w:t>
      </w:r>
      <w:r w:rsidRPr="005A14CE">
        <w:rPr>
          <w:rFonts w:ascii="Times New Roman" w:hAnsi="Times New Roman" w:cs="Times New Roman"/>
          <w:sz w:val="28"/>
          <w:szCs w:val="28"/>
        </w:rPr>
        <w:t>2021 is kept on hold and has therefore stated that the Impugned decision of the Respondent Authority to reject the revised proposal/plan for construction of two additional floors is illegal, arbitrary and unreasonable and is therefore required to be quashed and set aside.</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It is the say of the Appellant that the Respondent has to consider all the Rules, Regulations and the provisions of ODP as applicable when the application came to be submitted as early in January 2019 and </w:t>
      </w:r>
      <w:r w:rsidR="00974781" w:rsidRPr="005A14CE">
        <w:rPr>
          <w:rFonts w:ascii="Times New Roman" w:hAnsi="Times New Roman" w:cs="Times New Roman"/>
          <w:sz w:val="28"/>
          <w:szCs w:val="28"/>
        </w:rPr>
        <w:t xml:space="preserve">at </w:t>
      </w:r>
      <w:r w:rsidRPr="005A14CE">
        <w:rPr>
          <w:rFonts w:ascii="Times New Roman" w:hAnsi="Times New Roman" w:cs="Times New Roman"/>
          <w:sz w:val="28"/>
          <w:szCs w:val="28"/>
        </w:rPr>
        <w:t>that particular time there was neither any Court nor any such alleged decision to keep on hold the ODP-2021 and in such a situation the said application ought to have been considered as per the situation prevailing at that particular time.</w:t>
      </w:r>
    </w:p>
    <w:p w:rsidR="00F40425" w:rsidRPr="005A14CE" w:rsidRDefault="00F40425" w:rsidP="00F40425">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Appellant has therefore prayed to quash and set aside the impugned decision of the Respondent Authority communicated vide letter dated 04/08/2022 and to direct the Respondent Authority to grant approval in respect of the revised plan as submitted by the Appellant.</w:t>
      </w:r>
    </w:p>
    <w:p w:rsidR="00651429" w:rsidRPr="005A14CE" w:rsidRDefault="00F40425" w:rsidP="00DC2060">
      <w:pPr>
        <w:spacing w:line="360" w:lineRule="auto"/>
        <w:ind w:firstLine="720"/>
        <w:jc w:val="both"/>
        <w:rPr>
          <w:rFonts w:ascii="Times New Roman" w:hAnsi="Times New Roman" w:cs="Times New Roman"/>
          <w:bCs/>
          <w:sz w:val="28"/>
          <w:szCs w:val="28"/>
          <w:u w:val="single"/>
        </w:rPr>
      </w:pPr>
      <w:r w:rsidRPr="005A14CE">
        <w:rPr>
          <w:rFonts w:ascii="Times New Roman" w:hAnsi="Times New Roman" w:cs="Times New Roman"/>
          <w:sz w:val="28"/>
          <w:szCs w:val="28"/>
        </w:rPr>
        <w:lastRenderedPageBreak/>
        <w:t xml:space="preserve">During the hearing, Appellant was represented by Adv. </w:t>
      </w:r>
      <w:r w:rsidR="00DC2060" w:rsidRPr="005A14CE">
        <w:rPr>
          <w:rFonts w:ascii="Times New Roman" w:hAnsi="Times New Roman" w:cs="Times New Roman"/>
          <w:sz w:val="28"/>
          <w:szCs w:val="28"/>
        </w:rPr>
        <w:t>H</w:t>
      </w:r>
      <w:r w:rsidRPr="005A14CE">
        <w:rPr>
          <w:rFonts w:ascii="Times New Roman" w:hAnsi="Times New Roman" w:cs="Times New Roman"/>
          <w:sz w:val="28"/>
          <w:szCs w:val="28"/>
        </w:rPr>
        <w:t xml:space="preserve">anumant Naik and whereas the Respondent PDA was represented by </w:t>
      </w:r>
      <w:r w:rsidR="00974781" w:rsidRPr="005A14CE">
        <w:rPr>
          <w:rFonts w:ascii="Times New Roman" w:hAnsi="Times New Roman" w:cs="Times New Roman"/>
          <w:sz w:val="28"/>
          <w:szCs w:val="28"/>
        </w:rPr>
        <w:t>Shri Shaikh Ali Ahmed, Member Secretary GPPDA.</w:t>
      </w:r>
    </w:p>
    <w:p w:rsidR="00651429" w:rsidRPr="005A14CE" w:rsidRDefault="00F40425" w:rsidP="00994E92">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Adv. Hanumant Naik  stated that the a</w:t>
      </w:r>
      <w:r w:rsidR="00651429" w:rsidRPr="005A14CE">
        <w:rPr>
          <w:rFonts w:ascii="Times New Roman" w:hAnsi="Times New Roman" w:cs="Times New Roman"/>
          <w:sz w:val="28"/>
          <w:szCs w:val="28"/>
        </w:rPr>
        <w:t xml:space="preserve">ppeal </w:t>
      </w:r>
      <w:r w:rsidRPr="005A14CE">
        <w:rPr>
          <w:rFonts w:ascii="Times New Roman" w:hAnsi="Times New Roman" w:cs="Times New Roman"/>
          <w:sz w:val="28"/>
          <w:szCs w:val="28"/>
        </w:rPr>
        <w:t xml:space="preserve">has been </w:t>
      </w:r>
      <w:r w:rsidR="00651429" w:rsidRPr="005A14CE">
        <w:rPr>
          <w:rFonts w:ascii="Times New Roman" w:hAnsi="Times New Roman" w:cs="Times New Roman"/>
          <w:sz w:val="28"/>
          <w:szCs w:val="28"/>
        </w:rPr>
        <w:t xml:space="preserve">filed under Section 45 (2) of the Town &amp; Country Planning Act,1974, wherein </w:t>
      </w:r>
      <w:r w:rsidRPr="005A14CE">
        <w:rPr>
          <w:rFonts w:ascii="Times New Roman" w:hAnsi="Times New Roman" w:cs="Times New Roman"/>
          <w:sz w:val="28"/>
          <w:szCs w:val="28"/>
        </w:rPr>
        <w:t>they have</w:t>
      </w:r>
      <w:r w:rsidR="00651429" w:rsidRPr="005A14CE">
        <w:rPr>
          <w:rFonts w:ascii="Times New Roman" w:hAnsi="Times New Roman" w:cs="Times New Roman"/>
          <w:sz w:val="28"/>
          <w:szCs w:val="28"/>
        </w:rPr>
        <w:t xml:space="preserve"> challenged the </w:t>
      </w:r>
      <w:r w:rsidR="00974781" w:rsidRPr="005A14CE">
        <w:rPr>
          <w:rFonts w:ascii="Times New Roman" w:hAnsi="Times New Roman" w:cs="Times New Roman"/>
          <w:sz w:val="28"/>
          <w:szCs w:val="28"/>
        </w:rPr>
        <w:t>c</w:t>
      </w:r>
      <w:r w:rsidR="00651429" w:rsidRPr="005A14CE">
        <w:rPr>
          <w:rFonts w:ascii="Times New Roman" w:hAnsi="Times New Roman" w:cs="Times New Roman"/>
          <w:sz w:val="28"/>
          <w:szCs w:val="28"/>
        </w:rPr>
        <w:t xml:space="preserve">ommunication dated 04/08/2022, issued by the Greater Panaji Planning and Development Authority whereby the </w:t>
      </w:r>
      <w:r w:rsidR="00974781" w:rsidRPr="005A14CE">
        <w:rPr>
          <w:rFonts w:ascii="Times New Roman" w:hAnsi="Times New Roman" w:cs="Times New Roman"/>
          <w:sz w:val="28"/>
          <w:szCs w:val="28"/>
        </w:rPr>
        <w:t>a</w:t>
      </w:r>
      <w:r w:rsidR="00651429" w:rsidRPr="005A14CE">
        <w:rPr>
          <w:rFonts w:ascii="Times New Roman" w:hAnsi="Times New Roman" w:cs="Times New Roman"/>
          <w:sz w:val="28"/>
          <w:szCs w:val="28"/>
        </w:rPr>
        <w:t xml:space="preserve">pplication dated 14/01/2019, submitted by </w:t>
      </w:r>
      <w:r w:rsidRPr="005A14CE">
        <w:rPr>
          <w:rFonts w:ascii="Times New Roman" w:hAnsi="Times New Roman" w:cs="Times New Roman"/>
          <w:sz w:val="28"/>
          <w:szCs w:val="28"/>
        </w:rPr>
        <w:t>them</w:t>
      </w:r>
      <w:r w:rsidR="00651429" w:rsidRPr="005A14CE">
        <w:rPr>
          <w:rFonts w:ascii="Times New Roman" w:hAnsi="Times New Roman" w:cs="Times New Roman"/>
          <w:sz w:val="28"/>
          <w:szCs w:val="28"/>
        </w:rPr>
        <w:t xml:space="preserve"> for approval of additional floors 7</w:t>
      </w:r>
      <w:r w:rsidR="00651429" w:rsidRPr="005A14CE">
        <w:rPr>
          <w:rFonts w:ascii="Times New Roman" w:hAnsi="Times New Roman" w:cs="Times New Roman"/>
          <w:sz w:val="28"/>
          <w:szCs w:val="28"/>
          <w:vertAlign w:val="superscript"/>
        </w:rPr>
        <w:t>th</w:t>
      </w:r>
      <w:r w:rsidR="00651429" w:rsidRPr="005A14CE">
        <w:rPr>
          <w:rFonts w:ascii="Times New Roman" w:hAnsi="Times New Roman" w:cs="Times New Roman"/>
          <w:sz w:val="28"/>
          <w:szCs w:val="28"/>
        </w:rPr>
        <w:t xml:space="preserve"> and 8</w:t>
      </w:r>
      <w:r w:rsidR="00651429" w:rsidRPr="005A14CE">
        <w:rPr>
          <w:rFonts w:ascii="Times New Roman" w:hAnsi="Times New Roman" w:cs="Times New Roman"/>
          <w:sz w:val="28"/>
          <w:szCs w:val="28"/>
          <w:vertAlign w:val="superscript"/>
        </w:rPr>
        <w:t>th</w:t>
      </w:r>
      <w:r w:rsidR="00651429" w:rsidRPr="005A14CE">
        <w:rPr>
          <w:rFonts w:ascii="Times New Roman" w:hAnsi="Times New Roman" w:cs="Times New Roman"/>
          <w:sz w:val="28"/>
          <w:szCs w:val="28"/>
        </w:rPr>
        <w:t xml:space="preserve"> floors to the existing building in the properties bearing Chalta Nos. 271-A, 272 to 289, 289 –A and 290 of the P. T. Sheet No. 36 situated </w:t>
      </w:r>
      <w:r w:rsidR="00974781" w:rsidRPr="005A14CE">
        <w:rPr>
          <w:rFonts w:ascii="Times New Roman" w:hAnsi="Times New Roman" w:cs="Times New Roman"/>
          <w:sz w:val="28"/>
          <w:szCs w:val="28"/>
        </w:rPr>
        <w:t>at</w:t>
      </w:r>
      <w:r w:rsidR="00651429" w:rsidRPr="005A14CE">
        <w:rPr>
          <w:rFonts w:ascii="Times New Roman" w:hAnsi="Times New Roman" w:cs="Times New Roman"/>
          <w:sz w:val="28"/>
          <w:szCs w:val="28"/>
        </w:rPr>
        <w:t xml:space="preserve"> City Panaji came to be rejected. </w:t>
      </w:r>
    </w:p>
    <w:p w:rsidR="00651429" w:rsidRPr="005A14CE" w:rsidRDefault="0079258E" w:rsidP="00D61387">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w:t>
      </w:r>
      <w:r w:rsidR="00651429" w:rsidRPr="005A14CE">
        <w:rPr>
          <w:rFonts w:ascii="Times New Roman" w:hAnsi="Times New Roman" w:cs="Times New Roman"/>
          <w:sz w:val="28"/>
          <w:szCs w:val="28"/>
        </w:rPr>
        <w:t>he Appellants</w:t>
      </w:r>
      <w:r w:rsidRPr="005A14CE">
        <w:rPr>
          <w:rFonts w:ascii="Times New Roman" w:hAnsi="Times New Roman" w:cs="Times New Roman"/>
          <w:sz w:val="28"/>
          <w:szCs w:val="28"/>
        </w:rPr>
        <w:t xml:space="preserve"> stated that</w:t>
      </w:r>
      <w:r w:rsidR="00651429" w:rsidRPr="005A14CE">
        <w:rPr>
          <w:rFonts w:ascii="Times New Roman" w:hAnsi="Times New Roman" w:cs="Times New Roman"/>
          <w:sz w:val="28"/>
          <w:szCs w:val="28"/>
        </w:rPr>
        <w:t xml:space="preserve"> in view of change of zoning</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w:t>
      </w:r>
      <w:r w:rsidRPr="005A14CE">
        <w:rPr>
          <w:rFonts w:ascii="Times New Roman" w:hAnsi="Times New Roman" w:cs="Times New Roman"/>
          <w:sz w:val="28"/>
          <w:szCs w:val="28"/>
        </w:rPr>
        <w:t>they</w:t>
      </w:r>
      <w:r w:rsidR="00651429" w:rsidRPr="005A14CE">
        <w:rPr>
          <w:rFonts w:ascii="Times New Roman" w:hAnsi="Times New Roman" w:cs="Times New Roman"/>
          <w:sz w:val="28"/>
          <w:szCs w:val="28"/>
        </w:rPr>
        <w:t xml:space="preserve"> intended to construct the additional floors</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as such vide </w:t>
      </w:r>
      <w:r w:rsidR="00DC2060" w:rsidRPr="005A14CE">
        <w:rPr>
          <w:rFonts w:ascii="Times New Roman" w:hAnsi="Times New Roman" w:cs="Times New Roman"/>
          <w:sz w:val="28"/>
          <w:szCs w:val="28"/>
        </w:rPr>
        <w:t>a</w:t>
      </w:r>
      <w:r w:rsidR="00651429" w:rsidRPr="005A14CE">
        <w:rPr>
          <w:rFonts w:ascii="Times New Roman" w:hAnsi="Times New Roman" w:cs="Times New Roman"/>
          <w:sz w:val="28"/>
          <w:szCs w:val="28"/>
        </w:rPr>
        <w:t>pplication dated 14/01/2019, the</w:t>
      </w:r>
      <w:r w:rsidRPr="005A14CE">
        <w:rPr>
          <w:rFonts w:ascii="Times New Roman" w:hAnsi="Times New Roman" w:cs="Times New Roman"/>
          <w:sz w:val="28"/>
          <w:szCs w:val="28"/>
        </w:rPr>
        <w:t>y</w:t>
      </w:r>
      <w:r w:rsidR="00651429" w:rsidRPr="005A14CE">
        <w:rPr>
          <w:rFonts w:ascii="Times New Roman" w:hAnsi="Times New Roman" w:cs="Times New Roman"/>
          <w:sz w:val="28"/>
          <w:szCs w:val="28"/>
        </w:rPr>
        <w:t xml:space="preserve"> submitted the revised plan to the </w:t>
      </w:r>
      <w:r w:rsidRPr="005A14CE">
        <w:rPr>
          <w:rFonts w:ascii="Times New Roman" w:hAnsi="Times New Roman" w:cs="Times New Roman"/>
          <w:sz w:val="28"/>
          <w:szCs w:val="28"/>
        </w:rPr>
        <w:t xml:space="preserve">Respondent </w:t>
      </w:r>
      <w:r w:rsidR="00651429" w:rsidRPr="005A14CE">
        <w:rPr>
          <w:rFonts w:ascii="Times New Roman" w:hAnsi="Times New Roman" w:cs="Times New Roman"/>
          <w:sz w:val="28"/>
          <w:szCs w:val="28"/>
        </w:rPr>
        <w:t xml:space="preserve"> Authority</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which proposal was otherwise complying with the regulations.</w:t>
      </w:r>
    </w:p>
    <w:p w:rsidR="00651429" w:rsidRPr="005A14CE" w:rsidRDefault="00651429" w:rsidP="00151968">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Appellants submitted that the Authority for the reasons known to it, did not decide </w:t>
      </w:r>
      <w:r w:rsidR="00974781" w:rsidRPr="005A14CE">
        <w:rPr>
          <w:rFonts w:ascii="Times New Roman" w:hAnsi="Times New Roman" w:cs="Times New Roman"/>
          <w:sz w:val="28"/>
          <w:szCs w:val="28"/>
        </w:rPr>
        <w:t>on</w:t>
      </w:r>
      <w:r w:rsidRPr="005A14CE">
        <w:rPr>
          <w:rFonts w:ascii="Times New Roman" w:hAnsi="Times New Roman" w:cs="Times New Roman"/>
          <w:sz w:val="28"/>
          <w:szCs w:val="28"/>
        </w:rPr>
        <w:t xml:space="preserve"> </w:t>
      </w:r>
      <w:r w:rsidR="0079258E" w:rsidRPr="005A14CE">
        <w:rPr>
          <w:rFonts w:ascii="Times New Roman" w:hAnsi="Times New Roman" w:cs="Times New Roman"/>
          <w:sz w:val="28"/>
          <w:szCs w:val="28"/>
        </w:rPr>
        <w:t>their</w:t>
      </w:r>
      <w:r w:rsidRPr="005A14CE">
        <w:rPr>
          <w:rFonts w:ascii="Times New Roman" w:hAnsi="Times New Roman" w:cs="Times New Roman"/>
          <w:sz w:val="28"/>
          <w:szCs w:val="28"/>
        </w:rPr>
        <w:t xml:space="preserve"> </w:t>
      </w:r>
      <w:r w:rsidR="0079258E" w:rsidRPr="005A14CE">
        <w:rPr>
          <w:rFonts w:ascii="Times New Roman" w:hAnsi="Times New Roman" w:cs="Times New Roman"/>
          <w:sz w:val="28"/>
          <w:szCs w:val="28"/>
        </w:rPr>
        <w:t>a</w:t>
      </w:r>
      <w:r w:rsidRPr="005A14CE">
        <w:rPr>
          <w:rFonts w:ascii="Times New Roman" w:hAnsi="Times New Roman" w:cs="Times New Roman"/>
          <w:sz w:val="28"/>
          <w:szCs w:val="28"/>
        </w:rPr>
        <w:t>pplication in time and ultimately after more than 3 years</w:t>
      </w:r>
      <w:r w:rsidR="0079258E" w:rsidRPr="005A14CE">
        <w:rPr>
          <w:rFonts w:ascii="Times New Roman" w:hAnsi="Times New Roman" w:cs="Times New Roman"/>
          <w:sz w:val="28"/>
          <w:szCs w:val="28"/>
        </w:rPr>
        <w:t>,</w:t>
      </w:r>
      <w:r w:rsidRPr="005A14CE">
        <w:rPr>
          <w:rFonts w:ascii="Times New Roman" w:hAnsi="Times New Roman" w:cs="Times New Roman"/>
          <w:sz w:val="28"/>
          <w:szCs w:val="28"/>
        </w:rPr>
        <w:t xml:space="preserve"> vide </w:t>
      </w:r>
      <w:r w:rsidR="00DC2060" w:rsidRPr="005A14CE">
        <w:rPr>
          <w:rFonts w:ascii="Times New Roman" w:hAnsi="Times New Roman" w:cs="Times New Roman"/>
          <w:sz w:val="28"/>
          <w:szCs w:val="28"/>
        </w:rPr>
        <w:t>Order</w:t>
      </w:r>
      <w:r w:rsidRPr="005A14CE">
        <w:rPr>
          <w:rFonts w:ascii="Times New Roman" w:hAnsi="Times New Roman" w:cs="Times New Roman"/>
          <w:sz w:val="28"/>
          <w:szCs w:val="28"/>
        </w:rPr>
        <w:t xml:space="preserve"> dated 04/08/2022</w:t>
      </w:r>
      <w:r w:rsidR="0079258E" w:rsidRPr="005A14CE">
        <w:rPr>
          <w:rFonts w:ascii="Times New Roman" w:hAnsi="Times New Roman" w:cs="Times New Roman"/>
          <w:sz w:val="28"/>
          <w:szCs w:val="28"/>
        </w:rPr>
        <w:t>,</w:t>
      </w:r>
      <w:r w:rsidRPr="005A14CE">
        <w:rPr>
          <w:rFonts w:ascii="Times New Roman" w:hAnsi="Times New Roman" w:cs="Times New Roman"/>
          <w:sz w:val="28"/>
          <w:szCs w:val="28"/>
        </w:rPr>
        <w:t xml:space="preserve"> rejected the</w:t>
      </w:r>
      <w:r w:rsidR="0079258E" w:rsidRPr="005A14CE">
        <w:rPr>
          <w:rFonts w:ascii="Times New Roman" w:hAnsi="Times New Roman" w:cs="Times New Roman"/>
          <w:sz w:val="28"/>
          <w:szCs w:val="28"/>
        </w:rPr>
        <w:t>ir</w:t>
      </w:r>
      <w:r w:rsidRPr="005A14CE">
        <w:rPr>
          <w:rFonts w:ascii="Times New Roman" w:hAnsi="Times New Roman" w:cs="Times New Roman"/>
          <w:sz w:val="28"/>
          <w:szCs w:val="28"/>
        </w:rPr>
        <w:t xml:space="preserve"> </w:t>
      </w:r>
      <w:r w:rsidR="0079258E" w:rsidRPr="005A14CE">
        <w:rPr>
          <w:rFonts w:ascii="Times New Roman" w:hAnsi="Times New Roman" w:cs="Times New Roman"/>
          <w:sz w:val="28"/>
          <w:szCs w:val="28"/>
        </w:rPr>
        <w:t>a</w:t>
      </w:r>
      <w:r w:rsidRPr="005A14CE">
        <w:rPr>
          <w:rFonts w:ascii="Times New Roman" w:hAnsi="Times New Roman" w:cs="Times New Roman"/>
          <w:sz w:val="28"/>
          <w:szCs w:val="28"/>
        </w:rPr>
        <w:t>pplication mentioning that the ODP</w:t>
      </w:r>
      <w:r w:rsidR="00974781" w:rsidRPr="005A14CE">
        <w:rPr>
          <w:rFonts w:ascii="Times New Roman" w:hAnsi="Times New Roman" w:cs="Times New Roman"/>
          <w:sz w:val="28"/>
          <w:szCs w:val="28"/>
        </w:rPr>
        <w:t xml:space="preserve"> </w:t>
      </w:r>
      <w:r w:rsidRPr="005A14CE">
        <w:rPr>
          <w:rFonts w:ascii="Times New Roman" w:hAnsi="Times New Roman" w:cs="Times New Roman"/>
          <w:sz w:val="28"/>
          <w:szCs w:val="28"/>
        </w:rPr>
        <w:t xml:space="preserve">- 2021 for Panaji Planning Area was notified and that subsequently the Hon’ble High Court in the case No. LDVC-OCW/29/2020 in PIL W.P. 10/2019 passed an Order setting aside the operation of the ODP 2021 and </w:t>
      </w:r>
      <w:r w:rsidR="0079258E" w:rsidRPr="005A14CE">
        <w:rPr>
          <w:rFonts w:ascii="Times New Roman" w:hAnsi="Times New Roman" w:cs="Times New Roman"/>
          <w:sz w:val="28"/>
          <w:szCs w:val="28"/>
        </w:rPr>
        <w:t xml:space="preserve">in </w:t>
      </w:r>
      <w:r w:rsidRPr="005A14CE">
        <w:rPr>
          <w:rFonts w:ascii="Times New Roman" w:hAnsi="Times New Roman" w:cs="Times New Roman"/>
          <w:sz w:val="28"/>
          <w:szCs w:val="28"/>
        </w:rPr>
        <w:t>view of the same</w:t>
      </w:r>
      <w:r w:rsidR="0079258E" w:rsidRPr="005A14CE">
        <w:rPr>
          <w:rFonts w:ascii="Times New Roman" w:hAnsi="Times New Roman" w:cs="Times New Roman"/>
          <w:sz w:val="28"/>
          <w:szCs w:val="28"/>
        </w:rPr>
        <w:t>,</w:t>
      </w:r>
      <w:r w:rsidRPr="005A14CE">
        <w:rPr>
          <w:rFonts w:ascii="Times New Roman" w:hAnsi="Times New Roman" w:cs="Times New Roman"/>
          <w:sz w:val="28"/>
          <w:szCs w:val="28"/>
        </w:rPr>
        <w:t xml:space="preserve"> </w:t>
      </w:r>
      <w:r w:rsidR="0079258E" w:rsidRPr="005A14CE">
        <w:rPr>
          <w:rFonts w:ascii="Times New Roman" w:hAnsi="Times New Roman" w:cs="Times New Roman"/>
          <w:sz w:val="28"/>
          <w:szCs w:val="28"/>
        </w:rPr>
        <w:t xml:space="preserve">their </w:t>
      </w:r>
      <w:r w:rsidRPr="005A14CE">
        <w:rPr>
          <w:rFonts w:ascii="Times New Roman" w:hAnsi="Times New Roman" w:cs="Times New Roman"/>
          <w:sz w:val="28"/>
          <w:szCs w:val="28"/>
        </w:rPr>
        <w:t xml:space="preserve">proposal </w:t>
      </w:r>
      <w:r w:rsidR="0079258E" w:rsidRPr="005A14CE">
        <w:rPr>
          <w:rFonts w:ascii="Times New Roman" w:hAnsi="Times New Roman" w:cs="Times New Roman"/>
          <w:sz w:val="28"/>
          <w:szCs w:val="28"/>
        </w:rPr>
        <w:t>for</w:t>
      </w:r>
      <w:r w:rsidRPr="005A14CE">
        <w:rPr>
          <w:rFonts w:ascii="Times New Roman" w:hAnsi="Times New Roman" w:cs="Times New Roman"/>
          <w:sz w:val="28"/>
          <w:szCs w:val="28"/>
        </w:rPr>
        <w:t xml:space="preserve"> construction of 7</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and 8</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floor to the</w:t>
      </w:r>
      <w:r w:rsidR="0079258E" w:rsidRPr="005A14CE">
        <w:rPr>
          <w:rFonts w:ascii="Times New Roman" w:hAnsi="Times New Roman" w:cs="Times New Roman"/>
          <w:sz w:val="28"/>
          <w:szCs w:val="28"/>
        </w:rPr>
        <w:t>ir</w:t>
      </w:r>
      <w:r w:rsidRPr="005A14CE">
        <w:rPr>
          <w:rFonts w:ascii="Times New Roman" w:hAnsi="Times New Roman" w:cs="Times New Roman"/>
          <w:sz w:val="28"/>
          <w:szCs w:val="28"/>
        </w:rPr>
        <w:t xml:space="preserve"> existing building</w:t>
      </w:r>
      <w:r w:rsidR="0079258E" w:rsidRPr="005A14CE">
        <w:rPr>
          <w:rFonts w:ascii="Times New Roman" w:hAnsi="Times New Roman" w:cs="Times New Roman"/>
          <w:sz w:val="28"/>
          <w:szCs w:val="28"/>
        </w:rPr>
        <w:t xml:space="preserve"> (having total FAR of 249.96%), could </w:t>
      </w:r>
      <w:r w:rsidRPr="005A14CE">
        <w:rPr>
          <w:rFonts w:ascii="Times New Roman" w:hAnsi="Times New Roman" w:cs="Times New Roman"/>
          <w:sz w:val="28"/>
          <w:szCs w:val="28"/>
        </w:rPr>
        <w:t>not be consider</w:t>
      </w:r>
      <w:r w:rsidR="0079258E" w:rsidRPr="005A14CE">
        <w:rPr>
          <w:rFonts w:ascii="Times New Roman" w:hAnsi="Times New Roman" w:cs="Times New Roman"/>
          <w:sz w:val="28"/>
          <w:szCs w:val="28"/>
        </w:rPr>
        <w:t>ed</w:t>
      </w:r>
      <w:r w:rsidR="00151968" w:rsidRPr="005A14CE">
        <w:rPr>
          <w:rFonts w:ascii="Times New Roman" w:hAnsi="Times New Roman" w:cs="Times New Roman"/>
          <w:sz w:val="28"/>
          <w:szCs w:val="28"/>
        </w:rPr>
        <w:t>,</w:t>
      </w:r>
      <w:r w:rsidRPr="005A14CE">
        <w:rPr>
          <w:rFonts w:ascii="Times New Roman" w:hAnsi="Times New Roman" w:cs="Times New Roman"/>
          <w:sz w:val="28"/>
          <w:szCs w:val="28"/>
        </w:rPr>
        <w:t xml:space="preserve"> as the ODP </w:t>
      </w:r>
      <w:r w:rsidR="00974781" w:rsidRPr="005A14CE">
        <w:rPr>
          <w:rFonts w:ascii="Times New Roman" w:hAnsi="Times New Roman" w:cs="Times New Roman"/>
          <w:sz w:val="28"/>
          <w:szCs w:val="28"/>
        </w:rPr>
        <w:t xml:space="preserve">- </w:t>
      </w:r>
      <w:r w:rsidRPr="005A14CE">
        <w:rPr>
          <w:rFonts w:ascii="Times New Roman" w:hAnsi="Times New Roman" w:cs="Times New Roman"/>
          <w:sz w:val="28"/>
          <w:szCs w:val="28"/>
        </w:rPr>
        <w:t xml:space="preserve">2021 is on hold. </w:t>
      </w:r>
    </w:p>
    <w:p w:rsidR="00651429" w:rsidRPr="005A14CE" w:rsidRDefault="00151968" w:rsidP="00151968">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Appellants stated that w</w:t>
      </w:r>
      <w:r w:rsidR="00651429" w:rsidRPr="005A14CE">
        <w:rPr>
          <w:rFonts w:ascii="Times New Roman" w:hAnsi="Times New Roman" w:cs="Times New Roman"/>
          <w:sz w:val="28"/>
          <w:szCs w:val="28"/>
        </w:rPr>
        <w:t>hen the</w:t>
      </w:r>
      <w:r w:rsidRPr="005A14CE">
        <w:rPr>
          <w:rFonts w:ascii="Times New Roman" w:hAnsi="Times New Roman" w:cs="Times New Roman"/>
          <w:sz w:val="28"/>
          <w:szCs w:val="28"/>
        </w:rPr>
        <w:t>ir</w:t>
      </w:r>
      <w:r w:rsidR="00651429" w:rsidRPr="005A14CE">
        <w:rPr>
          <w:rFonts w:ascii="Times New Roman" w:hAnsi="Times New Roman" w:cs="Times New Roman"/>
          <w:sz w:val="28"/>
          <w:szCs w:val="28"/>
        </w:rPr>
        <w:t xml:space="preserve"> </w:t>
      </w:r>
      <w:r w:rsidRPr="005A14CE">
        <w:rPr>
          <w:rFonts w:ascii="Times New Roman" w:hAnsi="Times New Roman" w:cs="Times New Roman"/>
          <w:sz w:val="28"/>
          <w:szCs w:val="28"/>
        </w:rPr>
        <w:t>a</w:t>
      </w:r>
      <w:r w:rsidR="00651429" w:rsidRPr="005A14CE">
        <w:rPr>
          <w:rFonts w:ascii="Times New Roman" w:hAnsi="Times New Roman" w:cs="Times New Roman"/>
          <w:sz w:val="28"/>
          <w:szCs w:val="28"/>
        </w:rPr>
        <w:t>pplication came to be submitted on 14/01/2019</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there was no such Order passed by the Hon’ble High Court and therefore the</w:t>
      </w:r>
      <w:r w:rsidRPr="005A14CE">
        <w:rPr>
          <w:rFonts w:ascii="Times New Roman" w:hAnsi="Times New Roman" w:cs="Times New Roman"/>
          <w:sz w:val="28"/>
          <w:szCs w:val="28"/>
        </w:rPr>
        <w:t>ir</w:t>
      </w:r>
      <w:r w:rsidR="00651429" w:rsidRPr="005A14CE">
        <w:rPr>
          <w:rFonts w:ascii="Times New Roman" w:hAnsi="Times New Roman" w:cs="Times New Roman"/>
          <w:sz w:val="28"/>
          <w:szCs w:val="28"/>
        </w:rPr>
        <w:t xml:space="preserve"> </w:t>
      </w:r>
      <w:r w:rsidRPr="005A14CE">
        <w:rPr>
          <w:rFonts w:ascii="Times New Roman" w:hAnsi="Times New Roman" w:cs="Times New Roman"/>
          <w:sz w:val="28"/>
          <w:szCs w:val="28"/>
        </w:rPr>
        <w:t>a</w:t>
      </w:r>
      <w:r w:rsidR="00651429" w:rsidRPr="005A14CE">
        <w:rPr>
          <w:rFonts w:ascii="Times New Roman" w:hAnsi="Times New Roman" w:cs="Times New Roman"/>
          <w:sz w:val="28"/>
          <w:szCs w:val="28"/>
        </w:rPr>
        <w:t>pplication</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if considered by the Authority</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certainly the approval would have been granted for the construction since </w:t>
      </w:r>
      <w:r w:rsidRPr="005A14CE">
        <w:rPr>
          <w:rFonts w:ascii="Times New Roman" w:hAnsi="Times New Roman" w:cs="Times New Roman"/>
          <w:sz w:val="28"/>
          <w:szCs w:val="28"/>
        </w:rPr>
        <w:t>it was</w:t>
      </w:r>
      <w:r w:rsidR="00651429" w:rsidRPr="005A14CE">
        <w:rPr>
          <w:rFonts w:ascii="Times New Roman" w:hAnsi="Times New Roman" w:cs="Times New Roman"/>
          <w:sz w:val="28"/>
          <w:szCs w:val="28"/>
        </w:rPr>
        <w:t xml:space="preserve"> not the new construction but the</w:t>
      </w:r>
      <w:r w:rsidRPr="005A14CE">
        <w:rPr>
          <w:rFonts w:ascii="Times New Roman" w:hAnsi="Times New Roman" w:cs="Times New Roman"/>
          <w:sz w:val="28"/>
          <w:szCs w:val="28"/>
        </w:rPr>
        <w:t>y were</w:t>
      </w:r>
      <w:r w:rsidR="00651429" w:rsidRPr="005A14CE">
        <w:rPr>
          <w:rFonts w:ascii="Times New Roman" w:hAnsi="Times New Roman" w:cs="Times New Roman"/>
          <w:sz w:val="28"/>
          <w:szCs w:val="28"/>
        </w:rPr>
        <w:t xml:space="preserve"> seeking to construct </w:t>
      </w:r>
      <w:r w:rsidRPr="005A14CE">
        <w:rPr>
          <w:rFonts w:ascii="Times New Roman" w:hAnsi="Times New Roman" w:cs="Times New Roman"/>
          <w:sz w:val="28"/>
          <w:szCs w:val="28"/>
        </w:rPr>
        <w:t xml:space="preserve">only </w:t>
      </w:r>
      <w:r w:rsidR="00651429" w:rsidRPr="005A14CE">
        <w:rPr>
          <w:rFonts w:ascii="Times New Roman" w:hAnsi="Times New Roman" w:cs="Times New Roman"/>
          <w:sz w:val="28"/>
          <w:szCs w:val="28"/>
        </w:rPr>
        <w:t xml:space="preserve">the additional floors on the existing approved building. </w:t>
      </w:r>
    </w:p>
    <w:p w:rsidR="00151968" w:rsidRPr="005A14CE" w:rsidRDefault="00151968" w:rsidP="00D61387">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Appellants further stated that it was</w:t>
      </w:r>
      <w:r w:rsidR="00651429" w:rsidRPr="005A14CE">
        <w:rPr>
          <w:rFonts w:ascii="Times New Roman" w:hAnsi="Times New Roman" w:cs="Times New Roman"/>
          <w:sz w:val="28"/>
          <w:szCs w:val="28"/>
        </w:rPr>
        <w:t xml:space="preserve"> not known </w:t>
      </w:r>
      <w:r w:rsidRPr="005A14CE">
        <w:rPr>
          <w:rFonts w:ascii="Times New Roman" w:hAnsi="Times New Roman" w:cs="Times New Roman"/>
          <w:sz w:val="28"/>
          <w:szCs w:val="28"/>
        </w:rPr>
        <w:t>to them as to w</w:t>
      </w:r>
      <w:r w:rsidR="00651429" w:rsidRPr="005A14CE">
        <w:rPr>
          <w:rFonts w:ascii="Times New Roman" w:hAnsi="Times New Roman" w:cs="Times New Roman"/>
          <w:sz w:val="28"/>
          <w:szCs w:val="28"/>
        </w:rPr>
        <w:t>hy the</w:t>
      </w:r>
      <w:r w:rsidRPr="005A14CE">
        <w:rPr>
          <w:rFonts w:ascii="Times New Roman" w:hAnsi="Times New Roman" w:cs="Times New Roman"/>
          <w:sz w:val="28"/>
          <w:szCs w:val="28"/>
        </w:rPr>
        <w:t>ir</w:t>
      </w:r>
      <w:r w:rsidR="00651429" w:rsidRPr="005A14CE">
        <w:rPr>
          <w:rFonts w:ascii="Times New Roman" w:hAnsi="Times New Roman" w:cs="Times New Roman"/>
          <w:sz w:val="28"/>
          <w:szCs w:val="28"/>
        </w:rPr>
        <w:t xml:space="preserve"> </w:t>
      </w:r>
      <w:r w:rsidRPr="005A14CE">
        <w:rPr>
          <w:rFonts w:ascii="Times New Roman" w:hAnsi="Times New Roman" w:cs="Times New Roman"/>
          <w:sz w:val="28"/>
          <w:szCs w:val="28"/>
        </w:rPr>
        <w:t>a</w:t>
      </w:r>
      <w:r w:rsidR="00651429" w:rsidRPr="005A14CE">
        <w:rPr>
          <w:rFonts w:ascii="Times New Roman" w:hAnsi="Times New Roman" w:cs="Times New Roman"/>
          <w:sz w:val="28"/>
          <w:szCs w:val="28"/>
        </w:rPr>
        <w:t xml:space="preserve">pplication was kept pending for such a long time.  </w:t>
      </w:r>
      <w:r w:rsidRPr="005A14CE">
        <w:rPr>
          <w:rFonts w:ascii="Times New Roman" w:hAnsi="Times New Roman" w:cs="Times New Roman"/>
          <w:sz w:val="28"/>
          <w:szCs w:val="28"/>
        </w:rPr>
        <w:t xml:space="preserve">It was also brought to the notice of the Board that </w:t>
      </w:r>
      <w:r w:rsidR="00651429" w:rsidRPr="005A14CE">
        <w:rPr>
          <w:rFonts w:ascii="Times New Roman" w:hAnsi="Times New Roman" w:cs="Times New Roman"/>
          <w:sz w:val="28"/>
          <w:szCs w:val="28"/>
        </w:rPr>
        <w:t>the</w:t>
      </w:r>
      <w:r w:rsidRPr="005A14CE">
        <w:rPr>
          <w:rFonts w:ascii="Times New Roman" w:hAnsi="Times New Roman" w:cs="Times New Roman"/>
          <w:sz w:val="28"/>
          <w:szCs w:val="28"/>
        </w:rPr>
        <w:t>ir</w:t>
      </w:r>
      <w:r w:rsidR="00651429" w:rsidRPr="005A14CE">
        <w:rPr>
          <w:rFonts w:ascii="Times New Roman" w:hAnsi="Times New Roman" w:cs="Times New Roman"/>
          <w:sz w:val="28"/>
          <w:szCs w:val="28"/>
        </w:rPr>
        <w:t xml:space="preserve"> </w:t>
      </w:r>
      <w:r w:rsidRPr="005A14CE">
        <w:rPr>
          <w:rFonts w:ascii="Times New Roman" w:hAnsi="Times New Roman" w:cs="Times New Roman"/>
          <w:sz w:val="28"/>
          <w:szCs w:val="28"/>
        </w:rPr>
        <w:t>a</w:t>
      </w:r>
      <w:r w:rsidR="00651429" w:rsidRPr="005A14CE">
        <w:rPr>
          <w:rFonts w:ascii="Times New Roman" w:hAnsi="Times New Roman" w:cs="Times New Roman"/>
          <w:sz w:val="28"/>
          <w:szCs w:val="28"/>
        </w:rPr>
        <w:t xml:space="preserve">pplication </w:t>
      </w:r>
      <w:r w:rsidRPr="005A14CE">
        <w:rPr>
          <w:rFonts w:ascii="Times New Roman" w:hAnsi="Times New Roman" w:cs="Times New Roman"/>
          <w:sz w:val="28"/>
          <w:szCs w:val="28"/>
        </w:rPr>
        <w:t>was</w:t>
      </w:r>
      <w:r w:rsidR="00651429" w:rsidRPr="005A14CE">
        <w:rPr>
          <w:rFonts w:ascii="Times New Roman" w:hAnsi="Times New Roman" w:cs="Times New Roman"/>
          <w:sz w:val="28"/>
          <w:szCs w:val="28"/>
        </w:rPr>
        <w:t xml:space="preserve"> not submitted after the </w:t>
      </w:r>
      <w:r w:rsidRPr="005A14CE">
        <w:rPr>
          <w:rFonts w:ascii="Times New Roman" w:hAnsi="Times New Roman" w:cs="Times New Roman"/>
          <w:sz w:val="28"/>
          <w:szCs w:val="28"/>
        </w:rPr>
        <w:t xml:space="preserve">Order </w:t>
      </w:r>
      <w:r w:rsidRPr="005A14CE">
        <w:rPr>
          <w:rFonts w:ascii="Times New Roman" w:hAnsi="Times New Roman" w:cs="Times New Roman"/>
          <w:sz w:val="28"/>
          <w:szCs w:val="28"/>
        </w:rPr>
        <w:lastRenderedPageBreak/>
        <w:t>of the Hon’ble High Court and further informed that the Respondent Authority gave no other</w:t>
      </w:r>
      <w:r w:rsidR="00651429" w:rsidRPr="005A14CE">
        <w:rPr>
          <w:rFonts w:ascii="Times New Roman" w:hAnsi="Times New Roman" w:cs="Times New Roman"/>
          <w:sz w:val="28"/>
          <w:szCs w:val="28"/>
        </w:rPr>
        <w:t xml:space="preserve"> reason given for rejecting the</w:t>
      </w:r>
      <w:r w:rsidRPr="005A14CE">
        <w:rPr>
          <w:rFonts w:ascii="Times New Roman" w:hAnsi="Times New Roman" w:cs="Times New Roman"/>
          <w:sz w:val="28"/>
          <w:szCs w:val="28"/>
        </w:rPr>
        <w:t>ir a</w:t>
      </w:r>
      <w:r w:rsidR="00651429" w:rsidRPr="005A14CE">
        <w:rPr>
          <w:rFonts w:ascii="Times New Roman" w:hAnsi="Times New Roman" w:cs="Times New Roman"/>
          <w:sz w:val="28"/>
          <w:szCs w:val="28"/>
        </w:rPr>
        <w:t xml:space="preserve">pplication after more than 3 yrs. </w:t>
      </w:r>
    </w:p>
    <w:p w:rsidR="00DC2060" w:rsidRPr="005A14CE" w:rsidRDefault="00151968" w:rsidP="00151968">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Appellant therefore argued that c</w:t>
      </w:r>
      <w:r w:rsidR="00651429" w:rsidRPr="005A14CE">
        <w:rPr>
          <w:rFonts w:ascii="Times New Roman" w:hAnsi="Times New Roman" w:cs="Times New Roman"/>
          <w:sz w:val="28"/>
          <w:szCs w:val="28"/>
        </w:rPr>
        <w:t xml:space="preserve">onsidering </w:t>
      </w:r>
      <w:r w:rsidRPr="005A14CE">
        <w:rPr>
          <w:rFonts w:ascii="Times New Roman" w:hAnsi="Times New Roman" w:cs="Times New Roman"/>
          <w:sz w:val="28"/>
          <w:szCs w:val="28"/>
        </w:rPr>
        <w:t>these facts of the case, their proposal for</w:t>
      </w:r>
      <w:r w:rsidR="00651429" w:rsidRPr="005A14CE">
        <w:rPr>
          <w:rFonts w:ascii="Times New Roman" w:hAnsi="Times New Roman" w:cs="Times New Roman"/>
          <w:sz w:val="28"/>
          <w:szCs w:val="28"/>
        </w:rPr>
        <w:t xml:space="preserve"> proposed construction of 7</w:t>
      </w:r>
      <w:r w:rsidR="00651429" w:rsidRPr="005A14CE">
        <w:rPr>
          <w:rFonts w:ascii="Times New Roman" w:hAnsi="Times New Roman" w:cs="Times New Roman"/>
          <w:sz w:val="28"/>
          <w:szCs w:val="28"/>
          <w:vertAlign w:val="superscript"/>
        </w:rPr>
        <w:t>th</w:t>
      </w:r>
      <w:r w:rsidR="00651429" w:rsidRPr="005A14CE">
        <w:rPr>
          <w:rFonts w:ascii="Times New Roman" w:hAnsi="Times New Roman" w:cs="Times New Roman"/>
          <w:sz w:val="28"/>
          <w:szCs w:val="28"/>
        </w:rPr>
        <w:t xml:space="preserve"> and 8</w:t>
      </w:r>
      <w:r w:rsidR="00651429" w:rsidRPr="005A14CE">
        <w:rPr>
          <w:rFonts w:ascii="Times New Roman" w:hAnsi="Times New Roman" w:cs="Times New Roman"/>
          <w:sz w:val="28"/>
          <w:szCs w:val="28"/>
          <w:vertAlign w:val="superscript"/>
        </w:rPr>
        <w:t>th</w:t>
      </w:r>
      <w:r w:rsidR="00651429" w:rsidRPr="005A14CE">
        <w:rPr>
          <w:rFonts w:ascii="Times New Roman" w:hAnsi="Times New Roman" w:cs="Times New Roman"/>
          <w:sz w:val="28"/>
          <w:szCs w:val="28"/>
        </w:rPr>
        <w:t xml:space="preserve"> floor on the existing approved building</w:t>
      </w:r>
      <w:r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the Authority oug</w:t>
      </w:r>
      <w:r w:rsidR="00DC2060" w:rsidRPr="005A14CE">
        <w:rPr>
          <w:rFonts w:ascii="Times New Roman" w:hAnsi="Times New Roman" w:cs="Times New Roman"/>
          <w:sz w:val="28"/>
          <w:szCs w:val="28"/>
        </w:rPr>
        <w:t>ht to have granted the approval and further argued that i</w:t>
      </w:r>
      <w:r w:rsidR="00651429" w:rsidRPr="005A14CE">
        <w:rPr>
          <w:rFonts w:ascii="Times New Roman" w:hAnsi="Times New Roman" w:cs="Times New Roman"/>
          <w:sz w:val="28"/>
          <w:szCs w:val="28"/>
        </w:rPr>
        <w:t>f the</w:t>
      </w:r>
      <w:r w:rsidR="00DC2060" w:rsidRPr="005A14CE">
        <w:rPr>
          <w:rFonts w:ascii="Times New Roman" w:hAnsi="Times New Roman" w:cs="Times New Roman"/>
          <w:sz w:val="28"/>
          <w:szCs w:val="28"/>
        </w:rPr>
        <w:t>ir</w:t>
      </w:r>
      <w:r w:rsidR="00651429" w:rsidRPr="005A14CE">
        <w:rPr>
          <w:rFonts w:ascii="Times New Roman" w:hAnsi="Times New Roman" w:cs="Times New Roman"/>
          <w:sz w:val="28"/>
          <w:szCs w:val="28"/>
        </w:rPr>
        <w:t xml:space="preserve"> </w:t>
      </w:r>
      <w:r w:rsidR="00DC2060" w:rsidRPr="005A14CE">
        <w:rPr>
          <w:rFonts w:ascii="Times New Roman" w:hAnsi="Times New Roman" w:cs="Times New Roman"/>
          <w:sz w:val="28"/>
          <w:szCs w:val="28"/>
        </w:rPr>
        <w:t>a</w:t>
      </w:r>
      <w:r w:rsidR="00651429" w:rsidRPr="005A14CE">
        <w:rPr>
          <w:rFonts w:ascii="Times New Roman" w:hAnsi="Times New Roman" w:cs="Times New Roman"/>
          <w:sz w:val="28"/>
          <w:szCs w:val="28"/>
        </w:rPr>
        <w:t>pplication was submitted after the Order passed by the Hon’ble High Court</w:t>
      </w:r>
      <w:r w:rsidR="00DC2060"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the </w:t>
      </w:r>
      <w:r w:rsidR="00DC2060" w:rsidRPr="005A14CE">
        <w:rPr>
          <w:rFonts w:ascii="Times New Roman" w:hAnsi="Times New Roman" w:cs="Times New Roman"/>
          <w:sz w:val="28"/>
          <w:szCs w:val="28"/>
        </w:rPr>
        <w:t>same</w:t>
      </w:r>
      <w:r w:rsidR="00651429" w:rsidRPr="005A14CE">
        <w:rPr>
          <w:rFonts w:ascii="Times New Roman" w:hAnsi="Times New Roman" w:cs="Times New Roman"/>
          <w:sz w:val="28"/>
          <w:szCs w:val="28"/>
        </w:rPr>
        <w:t xml:space="preserve"> could not </w:t>
      </w:r>
      <w:r w:rsidR="00DC2060" w:rsidRPr="005A14CE">
        <w:rPr>
          <w:rFonts w:ascii="Times New Roman" w:hAnsi="Times New Roman" w:cs="Times New Roman"/>
          <w:sz w:val="28"/>
          <w:szCs w:val="28"/>
        </w:rPr>
        <w:t>have been</w:t>
      </w:r>
      <w:r w:rsidR="00651429" w:rsidRPr="005A14CE">
        <w:rPr>
          <w:rFonts w:ascii="Times New Roman" w:hAnsi="Times New Roman" w:cs="Times New Roman"/>
          <w:sz w:val="28"/>
          <w:szCs w:val="28"/>
        </w:rPr>
        <w:t xml:space="preserve"> processed </w:t>
      </w:r>
      <w:r w:rsidR="00DC2060" w:rsidRPr="005A14CE">
        <w:rPr>
          <w:rFonts w:ascii="Times New Roman" w:hAnsi="Times New Roman" w:cs="Times New Roman"/>
          <w:sz w:val="28"/>
          <w:szCs w:val="28"/>
        </w:rPr>
        <w:t>by the Respondent.</w:t>
      </w:r>
    </w:p>
    <w:p w:rsidR="008C1498" w:rsidRPr="005A14CE" w:rsidRDefault="008C1498" w:rsidP="008C1498">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Respondent however stated that they have rejected the application </w:t>
      </w:r>
      <w:r w:rsidR="00974781" w:rsidRPr="005A14CE">
        <w:rPr>
          <w:rFonts w:ascii="Times New Roman" w:hAnsi="Times New Roman" w:cs="Times New Roman"/>
          <w:sz w:val="28"/>
          <w:szCs w:val="28"/>
        </w:rPr>
        <w:t xml:space="preserve">as </w:t>
      </w:r>
      <w:r w:rsidRPr="005A14CE">
        <w:rPr>
          <w:rFonts w:ascii="Times New Roman" w:hAnsi="Times New Roman" w:cs="Times New Roman"/>
          <w:sz w:val="28"/>
          <w:szCs w:val="28"/>
        </w:rPr>
        <w:t xml:space="preserve">at the relevant time of communicating the decision, the directions of the High </w:t>
      </w:r>
      <w:r w:rsidR="00974781" w:rsidRPr="005A14CE">
        <w:rPr>
          <w:rFonts w:ascii="Times New Roman" w:hAnsi="Times New Roman" w:cs="Times New Roman"/>
          <w:sz w:val="28"/>
          <w:szCs w:val="28"/>
        </w:rPr>
        <w:t>C</w:t>
      </w:r>
      <w:r w:rsidRPr="005A14CE">
        <w:rPr>
          <w:rFonts w:ascii="Times New Roman" w:hAnsi="Times New Roman" w:cs="Times New Roman"/>
          <w:sz w:val="28"/>
          <w:szCs w:val="28"/>
        </w:rPr>
        <w:t>ourt were applicable to it.  The Respondent however could not satisfactorily justify the delay, which ultimately resulted in issue of the Order, which is presented contended by the Appellant.</w:t>
      </w:r>
    </w:p>
    <w:p w:rsidR="00651429" w:rsidRPr="005A14CE" w:rsidRDefault="00DC2060" w:rsidP="00151968">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w:t>
      </w:r>
      <w:r w:rsidR="00651429" w:rsidRPr="005A14CE">
        <w:rPr>
          <w:rFonts w:ascii="Times New Roman" w:hAnsi="Times New Roman" w:cs="Times New Roman"/>
          <w:sz w:val="28"/>
          <w:szCs w:val="28"/>
        </w:rPr>
        <w:t xml:space="preserve">he Board </w:t>
      </w:r>
      <w:r w:rsidR="008C1498" w:rsidRPr="005A14CE">
        <w:rPr>
          <w:rFonts w:ascii="Times New Roman" w:hAnsi="Times New Roman" w:cs="Times New Roman"/>
          <w:sz w:val="28"/>
          <w:szCs w:val="28"/>
        </w:rPr>
        <w:t>was</w:t>
      </w:r>
      <w:r w:rsidR="00651429" w:rsidRPr="005A14CE">
        <w:rPr>
          <w:rFonts w:ascii="Times New Roman" w:hAnsi="Times New Roman" w:cs="Times New Roman"/>
          <w:sz w:val="28"/>
          <w:szCs w:val="28"/>
        </w:rPr>
        <w:t xml:space="preserve"> of the view that </w:t>
      </w:r>
      <w:r w:rsidRPr="005A14CE">
        <w:rPr>
          <w:rFonts w:ascii="Times New Roman" w:hAnsi="Times New Roman" w:cs="Times New Roman"/>
          <w:sz w:val="28"/>
          <w:szCs w:val="28"/>
        </w:rPr>
        <w:t>a</w:t>
      </w:r>
      <w:r w:rsidR="00651429" w:rsidRPr="005A14CE">
        <w:rPr>
          <w:rFonts w:ascii="Times New Roman" w:hAnsi="Times New Roman" w:cs="Times New Roman"/>
          <w:sz w:val="28"/>
          <w:szCs w:val="28"/>
        </w:rPr>
        <w:t xml:space="preserve">pplication </w:t>
      </w:r>
      <w:r w:rsidR="008C1498" w:rsidRPr="005A14CE">
        <w:rPr>
          <w:rFonts w:ascii="Times New Roman" w:hAnsi="Times New Roman" w:cs="Times New Roman"/>
          <w:sz w:val="28"/>
          <w:szCs w:val="28"/>
        </w:rPr>
        <w:t>needs</w:t>
      </w:r>
      <w:r w:rsidR="00651429" w:rsidRPr="005A14CE">
        <w:rPr>
          <w:rFonts w:ascii="Times New Roman" w:hAnsi="Times New Roman" w:cs="Times New Roman"/>
          <w:sz w:val="28"/>
          <w:szCs w:val="28"/>
        </w:rPr>
        <w:t xml:space="preserve"> to be considered and it was not proper </w:t>
      </w:r>
      <w:r w:rsidR="00E96ACE" w:rsidRPr="005A14CE">
        <w:rPr>
          <w:rFonts w:ascii="Times New Roman" w:hAnsi="Times New Roman" w:cs="Times New Roman"/>
          <w:sz w:val="28"/>
          <w:szCs w:val="28"/>
        </w:rPr>
        <w:t>on the par</w:t>
      </w:r>
      <w:r w:rsidR="008C1498" w:rsidRPr="005A14CE">
        <w:rPr>
          <w:rFonts w:ascii="Times New Roman" w:hAnsi="Times New Roman" w:cs="Times New Roman"/>
          <w:sz w:val="28"/>
          <w:szCs w:val="28"/>
        </w:rPr>
        <w:t xml:space="preserve">t of the Respondent </w:t>
      </w:r>
      <w:r w:rsidR="00651429" w:rsidRPr="005A14CE">
        <w:rPr>
          <w:rFonts w:ascii="Times New Roman" w:hAnsi="Times New Roman" w:cs="Times New Roman"/>
          <w:sz w:val="28"/>
          <w:szCs w:val="28"/>
        </w:rPr>
        <w:t xml:space="preserve">Authority to keep </w:t>
      </w:r>
      <w:r w:rsidR="008C1498" w:rsidRPr="005A14CE">
        <w:rPr>
          <w:rFonts w:ascii="Times New Roman" w:hAnsi="Times New Roman" w:cs="Times New Roman"/>
          <w:sz w:val="28"/>
          <w:szCs w:val="28"/>
        </w:rPr>
        <w:t>a</w:t>
      </w:r>
      <w:r w:rsidR="00651429" w:rsidRPr="005A14CE">
        <w:rPr>
          <w:rFonts w:ascii="Times New Roman" w:hAnsi="Times New Roman" w:cs="Times New Roman"/>
          <w:sz w:val="28"/>
          <w:szCs w:val="28"/>
        </w:rPr>
        <w:t>pplication pending for such a long time</w:t>
      </w:r>
      <w:r w:rsidR="008C1498" w:rsidRPr="005A14CE">
        <w:rPr>
          <w:rFonts w:ascii="Times New Roman" w:hAnsi="Times New Roman" w:cs="Times New Roman"/>
          <w:sz w:val="28"/>
          <w:szCs w:val="28"/>
        </w:rPr>
        <w:t xml:space="preserve"> and t</w:t>
      </w:r>
      <w:r w:rsidR="00651429" w:rsidRPr="005A14CE">
        <w:rPr>
          <w:rFonts w:ascii="Times New Roman" w:hAnsi="Times New Roman" w:cs="Times New Roman"/>
          <w:sz w:val="28"/>
          <w:szCs w:val="28"/>
        </w:rPr>
        <w:t>herefore</w:t>
      </w:r>
      <w:r w:rsidR="008C1498" w:rsidRPr="005A14CE">
        <w:rPr>
          <w:rFonts w:ascii="Times New Roman" w:hAnsi="Times New Roman" w:cs="Times New Roman"/>
          <w:sz w:val="28"/>
          <w:szCs w:val="28"/>
        </w:rPr>
        <w:t xml:space="preserve"> felt it appropriate to issue</w:t>
      </w:r>
      <w:r w:rsidR="00651429" w:rsidRPr="005A14CE">
        <w:rPr>
          <w:rFonts w:ascii="Times New Roman" w:hAnsi="Times New Roman" w:cs="Times New Roman"/>
          <w:sz w:val="28"/>
          <w:szCs w:val="28"/>
        </w:rPr>
        <w:t xml:space="preserve"> direction to the </w:t>
      </w:r>
      <w:r w:rsidR="008C1498" w:rsidRPr="005A14CE">
        <w:rPr>
          <w:rFonts w:ascii="Times New Roman" w:hAnsi="Times New Roman" w:cs="Times New Roman"/>
          <w:sz w:val="28"/>
          <w:szCs w:val="28"/>
        </w:rPr>
        <w:t xml:space="preserve">Respondent </w:t>
      </w:r>
      <w:r w:rsidR="00651429" w:rsidRPr="005A14CE">
        <w:rPr>
          <w:rFonts w:ascii="Times New Roman" w:hAnsi="Times New Roman" w:cs="Times New Roman"/>
          <w:sz w:val="28"/>
          <w:szCs w:val="28"/>
        </w:rPr>
        <w:t>to grant the approval as applied by the Appellants</w:t>
      </w:r>
      <w:r w:rsidR="008C1498" w:rsidRPr="005A14CE">
        <w:rPr>
          <w:rFonts w:ascii="Times New Roman" w:hAnsi="Times New Roman" w:cs="Times New Roman"/>
          <w:sz w:val="28"/>
          <w:szCs w:val="28"/>
        </w:rPr>
        <w:t>,</w:t>
      </w:r>
      <w:r w:rsidR="00651429" w:rsidRPr="005A14CE">
        <w:rPr>
          <w:rFonts w:ascii="Times New Roman" w:hAnsi="Times New Roman" w:cs="Times New Roman"/>
          <w:sz w:val="28"/>
          <w:szCs w:val="28"/>
        </w:rPr>
        <w:t xml:space="preserve"> since it is not the new construction which has sought to be done but only the additional floors</w:t>
      </w:r>
      <w:r w:rsidR="008C1498" w:rsidRPr="005A14CE">
        <w:rPr>
          <w:rFonts w:ascii="Times New Roman" w:hAnsi="Times New Roman" w:cs="Times New Roman"/>
          <w:sz w:val="28"/>
          <w:szCs w:val="28"/>
        </w:rPr>
        <w:t xml:space="preserve"> are</w:t>
      </w:r>
      <w:r w:rsidR="00651429" w:rsidRPr="005A14CE">
        <w:rPr>
          <w:rFonts w:ascii="Times New Roman" w:hAnsi="Times New Roman" w:cs="Times New Roman"/>
          <w:sz w:val="28"/>
          <w:szCs w:val="28"/>
        </w:rPr>
        <w:t xml:space="preserve"> proposed to </w:t>
      </w:r>
      <w:r w:rsidR="00974781" w:rsidRPr="005A14CE">
        <w:rPr>
          <w:rFonts w:ascii="Times New Roman" w:hAnsi="Times New Roman" w:cs="Times New Roman"/>
          <w:sz w:val="28"/>
          <w:szCs w:val="28"/>
        </w:rPr>
        <w:t xml:space="preserve">be </w:t>
      </w:r>
      <w:r w:rsidR="00651429" w:rsidRPr="005A14CE">
        <w:rPr>
          <w:rFonts w:ascii="Times New Roman" w:hAnsi="Times New Roman" w:cs="Times New Roman"/>
          <w:sz w:val="28"/>
          <w:szCs w:val="28"/>
        </w:rPr>
        <w:t xml:space="preserve">constructed on the existing approved commercial building. </w:t>
      </w:r>
    </w:p>
    <w:p w:rsidR="00DC2060" w:rsidRPr="005A14CE" w:rsidRDefault="00DC2060" w:rsidP="00DC2060">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Board </w:t>
      </w:r>
      <w:r w:rsidR="008C1498" w:rsidRPr="005A14CE">
        <w:rPr>
          <w:rFonts w:ascii="Times New Roman" w:hAnsi="Times New Roman" w:cs="Times New Roman"/>
          <w:sz w:val="28"/>
          <w:szCs w:val="28"/>
        </w:rPr>
        <w:t xml:space="preserve">also </w:t>
      </w:r>
      <w:r w:rsidRPr="005A14CE">
        <w:rPr>
          <w:rFonts w:ascii="Times New Roman" w:hAnsi="Times New Roman" w:cs="Times New Roman"/>
          <w:sz w:val="28"/>
          <w:szCs w:val="28"/>
        </w:rPr>
        <w:t xml:space="preserve">took into consideration that had the Respondent decided on the application immediately on receipt of it, the Appellant  would have been entitled for grant of permission, which fact was not denied by the Respondent. </w:t>
      </w:r>
    </w:p>
    <w:p w:rsidR="00DC2060" w:rsidRPr="005A14CE" w:rsidRDefault="00DC2060" w:rsidP="00DC2060">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After hearing the Appellants and the Respondent, the Board considered that the Appellants  had applied for permission for construction of 7</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and 8</w:t>
      </w:r>
      <w:r w:rsidRPr="005A14CE">
        <w:rPr>
          <w:rFonts w:ascii="Times New Roman" w:hAnsi="Times New Roman" w:cs="Times New Roman"/>
          <w:sz w:val="28"/>
          <w:szCs w:val="28"/>
          <w:vertAlign w:val="superscript"/>
        </w:rPr>
        <w:t>th</w:t>
      </w:r>
      <w:r w:rsidRPr="005A14CE">
        <w:rPr>
          <w:rFonts w:ascii="Times New Roman" w:hAnsi="Times New Roman" w:cs="Times New Roman"/>
          <w:sz w:val="28"/>
          <w:szCs w:val="28"/>
        </w:rPr>
        <w:t xml:space="preserve"> floors on the commercial building, which has been constructed after obtaining all approvals including the Development Permission of the Authority, and at the relevant time of making such an application, the Appellant was entitled f</w:t>
      </w:r>
      <w:r w:rsidR="008C1498" w:rsidRPr="005A14CE">
        <w:rPr>
          <w:rFonts w:ascii="Times New Roman" w:hAnsi="Times New Roman" w:cs="Times New Roman"/>
          <w:sz w:val="28"/>
          <w:szCs w:val="28"/>
        </w:rPr>
        <w:t>or grant of permission and it is only the delay caused by Respondent  in deciding the application, has resulted into the rejection Order.</w:t>
      </w:r>
    </w:p>
    <w:p w:rsidR="00DC2060" w:rsidRPr="005A14CE" w:rsidRDefault="00651429" w:rsidP="00DC2060">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lastRenderedPageBreak/>
        <w:t xml:space="preserve">The Board </w:t>
      </w:r>
      <w:r w:rsidR="00DC2060" w:rsidRPr="005A14CE">
        <w:rPr>
          <w:rFonts w:ascii="Times New Roman" w:hAnsi="Times New Roman" w:cs="Times New Roman"/>
          <w:sz w:val="28"/>
          <w:szCs w:val="28"/>
        </w:rPr>
        <w:t xml:space="preserve">therefore allowed the appeal and set aside the Order dtd. 4/8/2022, as passed by the Respondent. </w:t>
      </w:r>
    </w:p>
    <w:p w:rsidR="00651429" w:rsidRPr="005A14CE" w:rsidRDefault="00DC2060" w:rsidP="00DC2060">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w:t>
      </w:r>
      <w:r w:rsidR="00651429" w:rsidRPr="005A14CE">
        <w:rPr>
          <w:rFonts w:ascii="Times New Roman" w:hAnsi="Times New Roman" w:cs="Times New Roman"/>
          <w:sz w:val="28"/>
          <w:szCs w:val="28"/>
        </w:rPr>
        <w:t>Appeal</w:t>
      </w:r>
      <w:r w:rsidRPr="005A14CE">
        <w:rPr>
          <w:rFonts w:ascii="Times New Roman" w:hAnsi="Times New Roman" w:cs="Times New Roman"/>
          <w:sz w:val="28"/>
          <w:szCs w:val="28"/>
        </w:rPr>
        <w:t xml:space="preserve"> therefore stands </w:t>
      </w:r>
      <w:r w:rsidR="00651429" w:rsidRPr="005A14CE">
        <w:rPr>
          <w:rFonts w:ascii="Times New Roman" w:hAnsi="Times New Roman" w:cs="Times New Roman"/>
          <w:sz w:val="28"/>
          <w:szCs w:val="28"/>
        </w:rPr>
        <w:t xml:space="preserve"> disposed of</w:t>
      </w:r>
      <w:r w:rsidRPr="005A14CE">
        <w:rPr>
          <w:rFonts w:ascii="Times New Roman" w:hAnsi="Times New Roman" w:cs="Times New Roman"/>
          <w:sz w:val="28"/>
          <w:szCs w:val="28"/>
        </w:rPr>
        <w:t>f with decision as above</w:t>
      </w:r>
      <w:r w:rsidR="00651429" w:rsidRPr="005A14CE">
        <w:rPr>
          <w:rFonts w:ascii="Times New Roman" w:hAnsi="Times New Roman" w:cs="Times New Roman"/>
          <w:sz w:val="28"/>
          <w:szCs w:val="28"/>
        </w:rPr>
        <w:t xml:space="preserve">.            </w:t>
      </w:r>
    </w:p>
    <w:p w:rsidR="00DC2060" w:rsidRPr="005A14CE" w:rsidRDefault="00DC2060" w:rsidP="00DC2060">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was accordingly directed to communicate the decision to the concerned parties.</w:t>
      </w:r>
    </w:p>
    <w:p w:rsidR="00651429" w:rsidRPr="005A14CE" w:rsidRDefault="00651429" w:rsidP="00176941">
      <w:pPr>
        <w:jc w:val="both"/>
        <w:rPr>
          <w:rFonts w:ascii="Times New Roman" w:hAnsi="Times New Roman" w:cs="Times New Roman"/>
          <w:b/>
          <w:sz w:val="28"/>
          <w:szCs w:val="28"/>
        </w:rPr>
      </w:pPr>
    </w:p>
    <w:p w:rsidR="00176941" w:rsidRPr="005A14CE" w:rsidRDefault="00176941" w:rsidP="00176941">
      <w:pPr>
        <w:spacing w:line="240" w:lineRule="auto"/>
        <w:jc w:val="both"/>
        <w:rPr>
          <w:rFonts w:ascii="Times New Roman" w:hAnsi="Times New Roman" w:cs="Times New Roman"/>
          <w:b/>
          <w:sz w:val="28"/>
          <w:szCs w:val="28"/>
        </w:rPr>
      </w:pPr>
      <w:r w:rsidRPr="005A14CE">
        <w:rPr>
          <w:rFonts w:ascii="Times New Roman" w:hAnsi="Times New Roman" w:cs="Times New Roman"/>
          <w:b/>
          <w:sz w:val="28"/>
          <w:szCs w:val="28"/>
        </w:rPr>
        <w:t>Item No. 3: Additional uses to be included under the Goa Land Development and Building Construction Regulations, 2010.</w:t>
      </w:r>
    </w:p>
    <w:p w:rsidR="00176941" w:rsidRPr="005A14CE" w:rsidRDefault="00176941" w:rsidP="00176941">
      <w:pPr>
        <w:jc w:val="both"/>
        <w:rPr>
          <w:rFonts w:ascii="Times New Roman" w:eastAsia="Times New Roman" w:hAnsi="Times New Roman" w:cs="Times New Roman"/>
          <w:b/>
          <w:sz w:val="28"/>
          <w:szCs w:val="28"/>
        </w:rPr>
      </w:pPr>
      <w:r w:rsidRPr="005A14CE">
        <w:rPr>
          <w:rFonts w:ascii="Times New Roman" w:eastAsia="Times New Roman" w:hAnsi="Times New Roman" w:cs="Times New Roman"/>
          <w:b/>
          <w:sz w:val="28"/>
          <w:szCs w:val="28"/>
        </w:rPr>
        <w:t>a) Residential School</w:t>
      </w:r>
    </w:p>
    <w:p w:rsidR="00176941" w:rsidRPr="005A14CE" w:rsidRDefault="00593E5E"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Member Secretary informed that t</w:t>
      </w:r>
      <w:r w:rsidR="00176941" w:rsidRPr="005A14CE">
        <w:rPr>
          <w:rFonts w:ascii="Times New Roman" w:eastAsia="Times New Roman" w:hAnsi="Times New Roman" w:cs="Times New Roman"/>
          <w:sz w:val="28"/>
          <w:szCs w:val="28"/>
        </w:rPr>
        <w:t xml:space="preserve">he Goa Land Development and Building Construction Regulations 2010 has provisions for educational institutions, health and medical institutions etc. </w:t>
      </w:r>
      <w:r w:rsidR="00CC1709" w:rsidRPr="005A14CE">
        <w:rPr>
          <w:rFonts w:ascii="Times New Roman" w:eastAsia="Times New Roman" w:hAnsi="Times New Roman" w:cs="Times New Roman"/>
          <w:sz w:val="28"/>
          <w:szCs w:val="28"/>
        </w:rPr>
        <w:t xml:space="preserve">and further informed that </w:t>
      </w:r>
      <w:r w:rsidR="00176941" w:rsidRPr="005A14CE">
        <w:rPr>
          <w:rFonts w:ascii="Times New Roman" w:eastAsia="Times New Roman" w:hAnsi="Times New Roman" w:cs="Times New Roman"/>
          <w:sz w:val="28"/>
          <w:szCs w:val="28"/>
        </w:rPr>
        <w:t xml:space="preserve"> Educational Institutions are allowed in settlement, institutional zones and other developable zones under pre-requisite conditions where maximum ground coverage and maximum FAR is as applicable to the respective zones.</w:t>
      </w:r>
    </w:p>
    <w:p w:rsidR="0013287C" w:rsidRPr="005A14CE" w:rsidRDefault="00CC1709"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It was further informed that a</w:t>
      </w:r>
      <w:r w:rsidR="00176941" w:rsidRPr="005A14CE">
        <w:rPr>
          <w:rFonts w:ascii="Times New Roman" w:eastAsia="Times New Roman" w:hAnsi="Times New Roman" w:cs="Times New Roman"/>
          <w:sz w:val="28"/>
          <w:szCs w:val="28"/>
        </w:rPr>
        <w:t>s per the regulations, educational institutions recognized by the Education Department/Goa University/</w:t>
      </w:r>
      <w:r w:rsidRPr="005A14CE">
        <w:rPr>
          <w:rFonts w:ascii="Times New Roman" w:eastAsia="Times New Roman" w:hAnsi="Times New Roman" w:cs="Times New Roman"/>
          <w:sz w:val="28"/>
          <w:szCs w:val="28"/>
        </w:rPr>
        <w:t xml:space="preserve"> </w:t>
      </w:r>
      <w:r w:rsidR="00176941" w:rsidRPr="005A14CE">
        <w:rPr>
          <w:rFonts w:ascii="Times New Roman" w:eastAsia="Times New Roman" w:hAnsi="Times New Roman" w:cs="Times New Roman"/>
          <w:sz w:val="28"/>
          <w:szCs w:val="28"/>
        </w:rPr>
        <w:t>University, Grant Commission/All India Institute of Technical Education/</w:t>
      </w:r>
      <w:r w:rsidR="00AF01AC" w:rsidRPr="005A14CE">
        <w:rPr>
          <w:rFonts w:ascii="Times New Roman" w:eastAsia="Times New Roman" w:hAnsi="Times New Roman" w:cs="Times New Roman"/>
          <w:sz w:val="28"/>
          <w:szCs w:val="28"/>
        </w:rPr>
        <w:t xml:space="preserve"> </w:t>
      </w:r>
      <w:r w:rsidR="00176941" w:rsidRPr="005A14CE">
        <w:rPr>
          <w:rFonts w:ascii="Times New Roman" w:eastAsia="Times New Roman" w:hAnsi="Times New Roman" w:cs="Times New Roman"/>
          <w:sz w:val="28"/>
          <w:szCs w:val="28"/>
        </w:rPr>
        <w:t xml:space="preserve">Directorate of Higher Education/Directorate of Technical Education and the Government of Goa, are eligible to avail additional 20% FAR for this facility. However, </w:t>
      </w:r>
      <w:r w:rsidRPr="005A14CE">
        <w:rPr>
          <w:rFonts w:ascii="Times New Roman" w:eastAsia="Times New Roman" w:hAnsi="Times New Roman" w:cs="Times New Roman"/>
          <w:sz w:val="28"/>
          <w:szCs w:val="28"/>
        </w:rPr>
        <w:t xml:space="preserve">to avail the same benefit, the institution has to </w:t>
      </w:r>
      <w:r w:rsidR="00176941" w:rsidRPr="005A14CE">
        <w:rPr>
          <w:rFonts w:ascii="Times New Roman" w:eastAsia="Times New Roman" w:hAnsi="Times New Roman" w:cs="Times New Roman"/>
          <w:sz w:val="28"/>
          <w:szCs w:val="28"/>
        </w:rPr>
        <w:t xml:space="preserve">obtain a prior no objection certificate from the concerned Department of Government of Goa. </w:t>
      </w:r>
    </w:p>
    <w:p w:rsidR="00176941" w:rsidRPr="005A14CE" w:rsidRDefault="00633AE1"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The Members took note that Goa is having a few </w:t>
      </w:r>
      <w:r w:rsidR="00176941" w:rsidRPr="005A14CE">
        <w:rPr>
          <w:rFonts w:ascii="Times New Roman" w:eastAsia="Times New Roman" w:hAnsi="Times New Roman" w:cs="Times New Roman"/>
          <w:sz w:val="28"/>
          <w:szCs w:val="28"/>
        </w:rPr>
        <w:t xml:space="preserve">colleges </w:t>
      </w:r>
      <w:r w:rsidRPr="005A14CE">
        <w:rPr>
          <w:rFonts w:ascii="Times New Roman" w:eastAsia="Times New Roman" w:hAnsi="Times New Roman" w:cs="Times New Roman"/>
          <w:sz w:val="28"/>
          <w:szCs w:val="28"/>
        </w:rPr>
        <w:t>that provides</w:t>
      </w:r>
      <w:r w:rsidR="00176941" w:rsidRPr="005A14CE">
        <w:rPr>
          <w:rFonts w:ascii="Times New Roman" w:eastAsia="Times New Roman" w:hAnsi="Times New Roman" w:cs="Times New Roman"/>
          <w:sz w:val="28"/>
          <w:szCs w:val="28"/>
        </w:rPr>
        <w:t xml:space="preserve"> hostel facilities, but </w:t>
      </w:r>
      <w:r w:rsidRPr="005A14CE">
        <w:rPr>
          <w:rFonts w:ascii="Times New Roman" w:eastAsia="Times New Roman" w:hAnsi="Times New Roman" w:cs="Times New Roman"/>
          <w:sz w:val="28"/>
          <w:szCs w:val="28"/>
        </w:rPr>
        <w:t xml:space="preserve">that there are no such </w:t>
      </w:r>
      <w:r w:rsidR="00176941" w:rsidRPr="005A14CE">
        <w:rPr>
          <w:rFonts w:ascii="Times New Roman" w:eastAsia="Times New Roman" w:hAnsi="Times New Roman" w:cs="Times New Roman"/>
          <w:sz w:val="28"/>
          <w:szCs w:val="28"/>
        </w:rPr>
        <w:t xml:space="preserve">schools with facilities that house the students studying in the </w:t>
      </w:r>
      <w:r w:rsidRPr="005A14CE">
        <w:rPr>
          <w:rFonts w:ascii="Times New Roman" w:eastAsia="Times New Roman" w:hAnsi="Times New Roman" w:cs="Times New Roman"/>
          <w:sz w:val="28"/>
          <w:szCs w:val="28"/>
        </w:rPr>
        <w:t xml:space="preserve">same </w:t>
      </w:r>
      <w:r w:rsidR="00176941" w:rsidRPr="005A14CE">
        <w:rPr>
          <w:rFonts w:ascii="Times New Roman" w:eastAsia="Times New Roman" w:hAnsi="Times New Roman" w:cs="Times New Roman"/>
          <w:sz w:val="28"/>
          <w:szCs w:val="28"/>
        </w:rPr>
        <w:t>school.</w:t>
      </w:r>
      <w:r w:rsidRPr="005A14CE">
        <w:rPr>
          <w:rFonts w:ascii="Times New Roman" w:eastAsia="Times New Roman" w:hAnsi="Times New Roman" w:cs="Times New Roman"/>
          <w:sz w:val="28"/>
          <w:szCs w:val="28"/>
        </w:rPr>
        <w:t xml:space="preserve">  It was observed that the</w:t>
      </w:r>
      <w:r w:rsidR="00176941" w:rsidRPr="005A14CE">
        <w:rPr>
          <w:rFonts w:ascii="Times New Roman" w:eastAsia="Times New Roman" w:hAnsi="Times New Roman" w:cs="Times New Roman"/>
          <w:sz w:val="28"/>
          <w:szCs w:val="28"/>
        </w:rPr>
        <w:t xml:space="preserve"> Regulations do not provide separate provisions for Residential Schools</w:t>
      </w:r>
      <w:r w:rsidRPr="005A14CE">
        <w:rPr>
          <w:rFonts w:ascii="Times New Roman" w:eastAsia="Times New Roman" w:hAnsi="Times New Roman" w:cs="Times New Roman"/>
          <w:sz w:val="28"/>
          <w:szCs w:val="28"/>
        </w:rPr>
        <w:t>,</w:t>
      </w:r>
      <w:r w:rsidR="00176941" w:rsidRPr="005A14CE">
        <w:rPr>
          <w:rFonts w:ascii="Times New Roman" w:eastAsia="Times New Roman" w:hAnsi="Times New Roman" w:cs="Times New Roman"/>
          <w:sz w:val="28"/>
          <w:szCs w:val="28"/>
        </w:rPr>
        <w:t xml:space="preserve"> which may be defined as educational institutions with special focus on community enga</w:t>
      </w:r>
      <w:r w:rsidRPr="005A14CE">
        <w:rPr>
          <w:rFonts w:ascii="Times New Roman" w:eastAsia="Times New Roman" w:hAnsi="Times New Roman" w:cs="Times New Roman"/>
          <w:sz w:val="28"/>
          <w:szCs w:val="28"/>
        </w:rPr>
        <w:t>gement, where the schools build</w:t>
      </w:r>
      <w:r w:rsidR="00176941" w:rsidRPr="005A14CE">
        <w:rPr>
          <w:rFonts w:ascii="Times New Roman" w:eastAsia="Times New Roman" w:hAnsi="Times New Roman" w:cs="Times New Roman"/>
          <w:sz w:val="28"/>
          <w:szCs w:val="28"/>
        </w:rPr>
        <w:t xml:space="preserve"> a relationship with its surroundings – from the natural bounty that encompasses it to the community that cohabits the space in villages that surround it.</w:t>
      </w:r>
    </w:p>
    <w:p w:rsidR="005D0064" w:rsidRPr="005A14CE" w:rsidRDefault="005D0064" w:rsidP="00176941">
      <w:pPr>
        <w:spacing w:line="360" w:lineRule="auto"/>
        <w:ind w:firstLine="720"/>
        <w:jc w:val="both"/>
        <w:rPr>
          <w:rFonts w:ascii="Times New Roman" w:eastAsia="Times New Roman" w:hAnsi="Times New Roman" w:cs="Times New Roman"/>
          <w:sz w:val="28"/>
          <w:szCs w:val="28"/>
        </w:rPr>
      </w:pPr>
    </w:p>
    <w:p w:rsidR="00633AE1" w:rsidRPr="005A14CE" w:rsidRDefault="00244067"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lastRenderedPageBreak/>
        <w:t xml:space="preserve">Member Shri. Rajiv Sukhtankar stated that </w:t>
      </w:r>
      <w:r w:rsidR="00633AE1" w:rsidRPr="005A14CE">
        <w:rPr>
          <w:rFonts w:ascii="Times New Roman" w:eastAsia="Times New Roman" w:hAnsi="Times New Roman" w:cs="Times New Roman"/>
          <w:sz w:val="28"/>
          <w:szCs w:val="28"/>
        </w:rPr>
        <w:t xml:space="preserve">grant </w:t>
      </w:r>
      <w:r w:rsidR="00075B5B" w:rsidRPr="005A14CE">
        <w:rPr>
          <w:rFonts w:ascii="Times New Roman" w:eastAsia="Times New Roman" w:hAnsi="Times New Roman" w:cs="Times New Roman"/>
          <w:sz w:val="28"/>
          <w:szCs w:val="28"/>
        </w:rPr>
        <w:t>of additional</w:t>
      </w:r>
      <w:r w:rsidRPr="005A14CE">
        <w:rPr>
          <w:rFonts w:ascii="Times New Roman" w:eastAsia="Times New Roman" w:hAnsi="Times New Roman" w:cs="Times New Roman"/>
          <w:sz w:val="28"/>
          <w:szCs w:val="28"/>
        </w:rPr>
        <w:t xml:space="preserve"> FAR </w:t>
      </w:r>
      <w:r w:rsidR="00633AE1" w:rsidRPr="005A14CE">
        <w:rPr>
          <w:rFonts w:ascii="Times New Roman" w:eastAsia="Times New Roman" w:hAnsi="Times New Roman" w:cs="Times New Roman"/>
          <w:sz w:val="28"/>
          <w:szCs w:val="28"/>
        </w:rPr>
        <w:t>may</w:t>
      </w:r>
      <w:r w:rsidRPr="005A14CE">
        <w:rPr>
          <w:rFonts w:ascii="Times New Roman" w:eastAsia="Times New Roman" w:hAnsi="Times New Roman" w:cs="Times New Roman"/>
          <w:sz w:val="28"/>
          <w:szCs w:val="28"/>
        </w:rPr>
        <w:t xml:space="preserve"> not </w:t>
      </w:r>
      <w:r w:rsidR="00633AE1" w:rsidRPr="005A14CE">
        <w:rPr>
          <w:rFonts w:ascii="Times New Roman" w:eastAsia="Times New Roman" w:hAnsi="Times New Roman" w:cs="Times New Roman"/>
          <w:sz w:val="28"/>
          <w:szCs w:val="28"/>
        </w:rPr>
        <w:t>be the requirement of educational institutions to provide such facilities of residential schools, as usually such facilities are set up in large area, which caters to various other ancillary needs/activities undertaken by such an institution.</w:t>
      </w:r>
    </w:p>
    <w:p w:rsidR="00E13BA2" w:rsidRPr="005A14CE" w:rsidRDefault="00181410"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The Member Shri. R. D</w:t>
      </w:r>
      <w:r w:rsidR="00633AE1" w:rsidRPr="005A14CE">
        <w:rPr>
          <w:rFonts w:ascii="Times New Roman" w:eastAsia="Times New Roman" w:hAnsi="Times New Roman" w:cs="Times New Roman"/>
          <w:sz w:val="28"/>
          <w:szCs w:val="28"/>
        </w:rPr>
        <w:t>’S</w:t>
      </w:r>
      <w:r w:rsidRPr="005A14CE">
        <w:rPr>
          <w:rFonts w:ascii="Times New Roman" w:eastAsia="Times New Roman" w:hAnsi="Times New Roman" w:cs="Times New Roman"/>
          <w:sz w:val="28"/>
          <w:szCs w:val="28"/>
        </w:rPr>
        <w:t>ouza stated that the regulation need to be framed for developing residential school</w:t>
      </w:r>
      <w:r w:rsidR="00633AE1" w:rsidRPr="005A14CE">
        <w:rPr>
          <w:rFonts w:ascii="Times New Roman" w:eastAsia="Times New Roman" w:hAnsi="Times New Roman" w:cs="Times New Roman"/>
          <w:sz w:val="28"/>
          <w:szCs w:val="28"/>
        </w:rPr>
        <w:t>s</w:t>
      </w:r>
      <w:r w:rsidRPr="005A14CE">
        <w:rPr>
          <w:rFonts w:ascii="Times New Roman" w:eastAsia="Times New Roman" w:hAnsi="Times New Roman" w:cs="Times New Roman"/>
          <w:sz w:val="28"/>
          <w:szCs w:val="28"/>
        </w:rPr>
        <w:t xml:space="preserve"> with sustainable and gree</w:t>
      </w:r>
      <w:r w:rsidR="00633AE1" w:rsidRPr="005A14CE">
        <w:rPr>
          <w:rFonts w:ascii="Times New Roman" w:eastAsia="Times New Roman" w:hAnsi="Times New Roman" w:cs="Times New Roman"/>
          <w:sz w:val="28"/>
          <w:szCs w:val="28"/>
        </w:rPr>
        <w:t>n concept and for the purpose, Green Certification should be made compulsory for setting up of such institutions.</w:t>
      </w:r>
    </w:p>
    <w:p w:rsidR="00633AE1" w:rsidRPr="005A14CE" w:rsidRDefault="0053383F"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Chairman </w:t>
      </w:r>
      <w:r w:rsidR="00633AE1" w:rsidRPr="005A14CE">
        <w:rPr>
          <w:rFonts w:ascii="Times New Roman" w:eastAsia="Times New Roman" w:hAnsi="Times New Roman" w:cs="Times New Roman"/>
          <w:sz w:val="28"/>
          <w:szCs w:val="28"/>
        </w:rPr>
        <w:t xml:space="preserve">was of the opinion </w:t>
      </w:r>
      <w:r w:rsidRPr="005A14CE">
        <w:rPr>
          <w:rFonts w:ascii="Times New Roman" w:eastAsia="Times New Roman" w:hAnsi="Times New Roman" w:cs="Times New Roman"/>
          <w:sz w:val="28"/>
          <w:szCs w:val="28"/>
        </w:rPr>
        <w:t>that</w:t>
      </w:r>
      <w:r w:rsidR="00633AE1" w:rsidRPr="005A14CE">
        <w:rPr>
          <w:rFonts w:ascii="Times New Roman" w:eastAsia="Times New Roman" w:hAnsi="Times New Roman" w:cs="Times New Roman"/>
          <w:sz w:val="28"/>
          <w:szCs w:val="28"/>
        </w:rPr>
        <w:t xml:space="preserve"> since</w:t>
      </w:r>
      <w:r w:rsidRPr="005A14CE">
        <w:rPr>
          <w:rFonts w:ascii="Times New Roman" w:eastAsia="Times New Roman" w:hAnsi="Times New Roman" w:cs="Times New Roman"/>
          <w:sz w:val="28"/>
          <w:szCs w:val="28"/>
        </w:rPr>
        <w:t xml:space="preserve"> residential school</w:t>
      </w:r>
      <w:r w:rsidR="00F21B9F" w:rsidRPr="005A14CE">
        <w:rPr>
          <w:rFonts w:ascii="Times New Roman" w:eastAsia="Times New Roman" w:hAnsi="Times New Roman" w:cs="Times New Roman"/>
          <w:sz w:val="28"/>
          <w:szCs w:val="28"/>
        </w:rPr>
        <w:t>s</w:t>
      </w:r>
      <w:r w:rsidR="00633AE1" w:rsidRPr="005A14CE">
        <w:rPr>
          <w:rFonts w:ascii="Times New Roman" w:eastAsia="Times New Roman" w:hAnsi="Times New Roman" w:cs="Times New Roman"/>
          <w:sz w:val="28"/>
          <w:szCs w:val="28"/>
        </w:rPr>
        <w:t xml:space="preserve"> requires</w:t>
      </w:r>
      <w:r w:rsidRPr="005A14CE">
        <w:rPr>
          <w:rFonts w:ascii="Times New Roman" w:eastAsia="Times New Roman" w:hAnsi="Times New Roman" w:cs="Times New Roman"/>
          <w:sz w:val="28"/>
          <w:szCs w:val="28"/>
        </w:rPr>
        <w:t xml:space="preserve"> a vast are</w:t>
      </w:r>
      <w:r w:rsidR="00633AE1" w:rsidRPr="005A14CE">
        <w:rPr>
          <w:rFonts w:ascii="Times New Roman" w:eastAsia="Times New Roman" w:hAnsi="Times New Roman" w:cs="Times New Roman"/>
          <w:sz w:val="28"/>
          <w:szCs w:val="28"/>
        </w:rPr>
        <w:t xml:space="preserve">a, such institutions may also be permitted in zones other than settlement/institutional. </w:t>
      </w:r>
    </w:p>
    <w:p w:rsidR="005A3A61" w:rsidRPr="005A14CE" w:rsidRDefault="00633AE1" w:rsidP="005A3A6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 The Board</w:t>
      </w:r>
      <w:r w:rsidR="0053383F" w:rsidRPr="005A14CE">
        <w:rPr>
          <w:rFonts w:ascii="Times New Roman" w:eastAsia="Times New Roman" w:hAnsi="Times New Roman" w:cs="Times New Roman"/>
          <w:sz w:val="28"/>
          <w:szCs w:val="28"/>
        </w:rPr>
        <w:t xml:space="preserve"> </w:t>
      </w:r>
      <w:r w:rsidRPr="005A14CE">
        <w:rPr>
          <w:rFonts w:ascii="Times New Roman" w:eastAsia="Times New Roman" w:hAnsi="Times New Roman" w:cs="Times New Roman"/>
          <w:sz w:val="28"/>
          <w:szCs w:val="28"/>
        </w:rPr>
        <w:t>deliberated on the subject</w:t>
      </w:r>
      <w:r w:rsidR="00570D6B" w:rsidRPr="005A14CE">
        <w:rPr>
          <w:rFonts w:ascii="Times New Roman" w:eastAsia="Times New Roman" w:hAnsi="Times New Roman" w:cs="Times New Roman"/>
          <w:sz w:val="28"/>
          <w:szCs w:val="28"/>
        </w:rPr>
        <w:t xml:space="preserve"> and it was decided that the regulation need to be framed to permit Residential Schools and that such uses may also be permitted in Orchard/Natural Cover zones, by obtaining necessary Green Certification.  It was also decided that minimum area of the plot for setting up of these activities shall be 2.00 lakh sq.mts. and maximum permissible FAR/Coverage shall be 20%.</w:t>
      </w:r>
      <w:r w:rsidR="005A3A61" w:rsidRPr="005A14CE">
        <w:rPr>
          <w:rFonts w:ascii="Times New Roman" w:eastAsia="Times New Roman" w:hAnsi="Times New Roman" w:cs="Times New Roman"/>
          <w:sz w:val="28"/>
          <w:szCs w:val="28"/>
        </w:rPr>
        <w:t xml:space="preserve"> </w:t>
      </w:r>
    </w:p>
    <w:p w:rsidR="005A3A61" w:rsidRPr="005A14CE" w:rsidRDefault="005A3A61" w:rsidP="005A3A6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The Board also recommended that the residential schools shall be exempted from obtaining conversion sanad, as the large properties involved in setting up of such institutions would most likely involve area under Orchard or Natural Cover etc. </w:t>
      </w:r>
    </w:p>
    <w:p w:rsidR="00570D6B" w:rsidRPr="005A14CE" w:rsidRDefault="00570D6B"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CTP (Admn.) </w:t>
      </w:r>
      <w:r w:rsidR="00B85518" w:rsidRPr="005A14CE">
        <w:rPr>
          <w:rFonts w:ascii="Times New Roman" w:eastAsia="Times New Roman" w:hAnsi="Times New Roman" w:cs="Times New Roman"/>
          <w:sz w:val="28"/>
          <w:szCs w:val="28"/>
        </w:rPr>
        <w:t>was</w:t>
      </w:r>
      <w:r w:rsidRPr="005A14CE">
        <w:rPr>
          <w:rFonts w:ascii="Times New Roman" w:eastAsia="Times New Roman" w:hAnsi="Times New Roman" w:cs="Times New Roman"/>
          <w:sz w:val="28"/>
          <w:szCs w:val="28"/>
        </w:rPr>
        <w:t xml:space="preserve"> accordingly directed to undertake further procedure </w:t>
      </w:r>
      <w:r w:rsidR="005A3A61" w:rsidRPr="005A14CE">
        <w:rPr>
          <w:rFonts w:ascii="Times New Roman" w:eastAsia="Times New Roman" w:hAnsi="Times New Roman" w:cs="Times New Roman"/>
          <w:sz w:val="28"/>
          <w:szCs w:val="28"/>
        </w:rPr>
        <w:t xml:space="preserve">of framing the regulations </w:t>
      </w:r>
      <w:r w:rsidRPr="005A14CE">
        <w:rPr>
          <w:rFonts w:ascii="Times New Roman" w:eastAsia="Times New Roman" w:hAnsi="Times New Roman" w:cs="Times New Roman"/>
          <w:sz w:val="28"/>
          <w:szCs w:val="28"/>
        </w:rPr>
        <w:t>in this regard.</w:t>
      </w:r>
    </w:p>
    <w:p w:rsidR="00176941" w:rsidRPr="005A14CE" w:rsidRDefault="00176941" w:rsidP="00176941">
      <w:pPr>
        <w:rPr>
          <w:rFonts w:ascii="Times New Roman" w:eastAsia="Times New Roman" w:hAnsi="Times New Roman" w:cs="Times New Roman"/>
          <w:b/>
          <w:sz w:val="28"/>
          <w:szCs w:val="28"/>
        </w:rPr>
      </w:pPr>
      <w:r w:rsidRPr="005A14CE">
        <w:rPr>
          <w:rFonts w:ascii="Times New Roman" w:eastAsia="Times New Roman" w:hAnsi="Times New Roman" w:cs="Times New Roman"/>
          <w:b/>
          <w:sz w:val="28"/>
          <w:szCs w:val="28"/>
        </w:rPr>
        <w:t xml:space="preserve">b)  Yoga and Meditation Centers </w:t>
      </w:r>
    </w:p>
    <w:p w:rsidR="00176941" w:rsidRPr="005A14CE" w:rsidRDefault="00E86187"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Member Secretary informed that </w:t>
      </w:r>
      <w:r w:rsidR="005830E7" w:rsidRPr="005A14CE">
        <w:rPr>
          <w:rFonts w:ascii="Times New Roman" w:eastAsia="Times New Roman" w:hAnsi="Times New Roman" w:cs="Times New Roman"/>
          <w:sz w:val="28"/>
          <w:szCs w:val="28"/>
        </w:rPr>
        <w:t xml:space="preserve">the </w:t>
      </w:r>
      <w:r w:rsidR="00176941" w:rsidRPr="005A14CE">
        <w:rPr>
          <w:rFonts w:ascii="Times New Roman" w:eastAsia="Times New Roman" w:hAnsi="Times New Roman" w:cs="Times New Roman"/>
          <w:sz w:val="28"/>
          <w:szCs w:val="28"/>
        </w:rPr>
        <w:t xml:space="preserve">Yoga and meditation centers have become need of the hour for </w:t>
      </w:r>
      <w:r w:rsidR="005A3A61" w:rsidRPr="005A14CE">
        <w:rPr>
          <w:rFonts w:ascii="Times New Roman" w:eastAsia="Times New Roman" w:hAnsi="Times New Roman" w:cs="Times New Roman"/>
          <w:sz w:val="28"/>
          <w:szCs w:val="28"/>
        </w:rPr>
        <w:t xml:space="preserve">the </w:t>
      </w:r>
      <w:r w:rsidR="00176941" w:rsidRPr="005A14CE">
        <w:rPr>
          <w:rFonts w:ascii="Times New Roman" w:eastAsia="Times New Roman" w:hAnsi="Times New Roman" w:cs="Times New Roman"/>
          <w:sz w:val="28"/>
          <w:szCs w:val="28"/>
        </w:rPr>
        <w:t>people in search of solace and calm</w:t>
      </w:r>
      <w:r w:rsidR="005A3A61" w:rsidRPr="005A14CE">
        <w:rPr>
          <w:rFonts w:ascii="Times New Roman" w:eastAsia="Times New Roman" w:hAnsi="Times New Roman" w:cs="Times New Roman"/>
          <w:sz w:val="28"/>
          <w:szCs w:val="28"/>
        </w:rPr>
        <w:t xml:space="preserve"> and</w:t>
      </w:r>
      <w:r w:rsidR="00176941" w:rsidRPr="005A14CE">
        <w:rPr>
          <w:rFonts w:ascii="Times New Roman" w:eastAsia="Times New Roman" w:hAnsi="Times New Roman" w:cs="Times New Roman"/>
          <w:sz w:val="28"/>
          <w:szCs w:val="28"/>
        </w:rPr>
        <w:t xml:space="preserve"> serene beauty and peaceful environment</w:t>
      </w:r>
      <w:r w:rsidR="005A3A61" w:rsidRPr="005A14CE">
        <w:rPr>
          <w:rFonts w:ascii="Times New Roman" w:eastAsia="Times New Roman" w:hAnsi="Times New Roman" w:cs="Times New Roman"/>
          <w:sz w:val="28"/>
          <w:szCs w:val="28"/>
        </w:rPr>
        <w:t xml:space="preserve"> of the State</w:t>
      </w:r>
      <w:r w:rsidR="00176941" w:rsidRPr="005A14CE">
        <w:rPr>
          <w:rFonts w:ascii="Times New Roman" w:eastAsia="Times New Roman" w:hAnsi="Times New Roman" w:cs="Times New Roman"/>
          <w:sz w:val="28"/>
          <w:szCs w:val="28"/>
        </w:rPr>
        <w:t xml:space="preserve"> make</w:t>
      </w:r>
      <w:r w:rsidR="005A3A61" w:rsidRPr="005A14CE">
        <w:rPr>
          <w:rFonts w:ascii="Times New Roman" w:eastAsia="Times New Roman" w:hAnsi="Times New Roman" w:cs="Times New Roman"/>
          <w:sz w:val="28"/>
          <w:szCs w:val="28"/>
        </w:rPr>
        <w:t>s</w:t>
      </w:r>
      <w:r w:rsidR="00176941" w:rsidRPr="005A14CE">
        <w:rPr>
          <w:rFonts w:ascii="Times New Roman" w:eastAsia="Times New Roman" w:hAnsi="Times New Roman" w:cs="Times New Roman"/>
          <w:sz w:val="28"/>
          <w:szCs w:val="28"/>
        </w:rPr>
        <w:t xml:space="preserve"> it an ideal destination for Yoga and </w:t>
      </w:r>
      <w:r w:rsidR="00075B5B" w:rsidRPr="005A14CE">
        <w:rPr>
          <w:rFonts w:ascii="Times New Roman" w:eastAsia="Times New Roman" w:hAnsi="Times New Roman" w:cs="Times New Roman"/>
          <w:sz w:val="28"/>
          <w:szCs w:val="28"/>
        </w:rPr>
        <w:t xml:space="preserve">Meditation Centres </w:t>
      </w:r>
      <w:r w:rsidR="005A3A61" w:rsidRPr="005A14CE">
        <w:rPr>
          <w:rFonts w:ascii="Times New Roman" w:eastAsia="Times New Roman" w:hAnsi="Times New Roman" w:cs="Times New Roman"/>
          <w:sz w:val="28"/>
          <w:szCs w:val="28"/>
        </w:rPr>
        <w:t xml:space="preserve">which are </w:t>
      </w:r>
      <w:r w:rsidR="00176941" w:rsidRPr="005A14CE">
        <w:rPr>
          <w:rFonts w:ascii="Times New Roman" w:eastAsia="Times New Roman" w:hAnsi="Times New Roman" w:cs="Times New Roman"/>
          <w:sz w:val="28"/>
          <w:szCs w:val="28"/>
        </w:rPr>
        <w:t>attracting tourists in search of mental and spiritual wellbeing.</w:t>
      </w:r>
      <w:r w:rsidR="005A3A61" w:rsidRPr="005A14CE">
        <w:rPr>
          <w:rFonts w:ascii="Times New Roman" w:eastAsia="Times New Roman" w:hAnsi="Times New Roman" w:cs="Times New Roman"/>
          <w:sz w:val="28"/>
          <w:szCs w:val="28"/>
        </w:rPr>
        <w:t xml:space="preserve">  The Board acknowledged that </w:t>
      </w:r>
      <w:r w:rsidR="00176941" w:rsidRPr="005A14CE">
        <w:rPr>
          <w:rFonts w:ascii="Times New Roman" w:eastAsia="Times New Roman" w:hAnsi="Times New Roman" w:cs="Times New Roman"/>
          <w:sz w:val="28"/>
          <w:szCs w:val="28"/>
        </w:rPr>
        <w:t xml:space="preserve">Goa being a top tourist </w:t>
      </w:r>
      <w:r w:rsidR="005A3A61" w:rsidRPr="005A14CE">
        <w:rPr>
          <w:rFonts w:ascii="Times New Roman" w:eastAsia="Times New Roman" w:hAnsi="Times New Roman" w:cs="Times New Roman"/>
          <w:sz w:val="28"/>
          <w:szCs w:val="28"/>
        </w:rPr>
        <w:t xml:space="preserve">destination, </w:t>
      </w:r>
      <w:r w:rsidR="00176941" w:rsidRPr="005A14CE">
        <w:rPr>
          <w:rFonts w:ascii="Times New Roman" w:eastAsia="Times New Roman" w:hAnsi="Times New Roman" w:cs="Times New Roman"/>
          <w:sz w:val="28"/>
          <w:szCs w:val="28"/>
        </w:rPr>
        <w:t xml:space="preserve">could offer tourists a place to rejuvenate </w:t>
      </w:r>
      <w:r w:rsidR="00176941" w:rsidRPr="005A14CE">
        <w:rPr>
          <w:rFonts w:ascii="Times New Roman" w:eastAsia="Times New Roman" w:hAnsi="Times New Roman" w:cs="Times New Roman"/>
          <w:sz w:val="28"/>
          <w:szCs w:val="28"/>
        </w:rPr>
        <w:lastRenderedPageBreak/>
        <w:t xml:space="preserve">themselves in the form of </w:t>
      </w:r>
      <w:r w:rsidR="00920FEA" w:rsidRPr="005A14CE">
        <w:rPr>
          <w:rFonts w:ascii="Times New Roman" w:eastAsia="Times New Roman" w:hAnsi="Times New Roman" w:cs="Times New Roman"/>
          <w:sz w:val="28"/>
          <w:szCs w:val="28"/>
        </w:rPr>
        <w:t>meditation and yoga</w:t>
      </w:r>
      <w:r w:rsidR="005A3A61" w:rsidRPr="005A14CE">
        <w:rPr>
          <w:rFonts w:ascii="Times New Roman" w:eastAsia="Times New Roman" w:hAnsi="Times New Roman" w:cs="Times New Roman"/>
          <w:sz w:val="28"/>
          <w:szCs w:val="28"/>
        </w:rPr>
        <w:t xml:space="preserve"> and for which purpose,</w:t>
      </w:r>
      <w:r w:rsidR="00920FEA" w:rsidRPr="005A14CE">
        <w:rPr>
          <w:rFonts w:ascii="Times New Roman" w:eastAsia="Times New Roman" w:hAnsi="Times New Roman" w:cs="Times New Roman"/>
          <w:sz w:val="28"/>
          <w:szCs w:val="28"/>
        </w:rPr>
        <w:t xml:space="preserve"> </w:t>
      </w:r>
      <w:r w:rsidR="005A3A61" w:rsidRPr="005A14CE">
        <w:rPr>
          <w:rFonts w:ascii="Times New Roman" w:eastAsia="Times New Roman" w:hAnsi="Times New Roman" w:cs="Times New Roman"/>
          <w:sz w:val="28"/>
          <w:szCs w:val="28"/>
        </w:rPr>
        <w:t>t</w:t>
      </w:r>
      <w:r w:rsidR="00920FEA" w:rsidRPr="005A14CE">
        <w:rPr>
          <w:rFonts w:ascii="Times New Roman" w:eastAsia="Times New Roman" w:hAnsi="Times New Roman" w:cs="Times New Roman"/>
          <w:sz w:val="28"/>
          <w:szCs w:val="28"/>
        </w:rPr>
        <w:t>he remote</w:t>
      </w:r>
      <w:r w:rsidR="00176941" w:rsidRPr="005A14CE">
        <w:rPr>
          <w:rFonts w:ascii="Times New Roman" w:eastAsia="Times New Roman" w:hAnsi="Times New Roman" w:cs="Times New Roman"/>
          <w:sz w:val="28"/>
          <w:szCs w:val="28"/>
        </w:rPr>
        <w:t xml:space="preserve"> hinterlands </w:t>
      </w:r>
      <w:r w:rsidR="005A3A61" w:rsidRPr="005A14CE">
        <w:rPr>
          <w:rFonts w:ascii="Times New Roman" w:eastAsia="Times New Roman" w:hAnsi="Times New Roman" w:cs="Times New Roman"/>
          <w:sz w:val="28"/>
          <w:szCs w:val="28"/>
        </w:rPr>
        <w:t xml:space="preserve">within the State </w:t>
      </w:r>
      <w:r w:rsidR="00176941" w:rsidRPr="005A14CE">
        <w:rPr>
          <w:rFonts w:ascii="Times New Roman" w:eastAsia="Times New Roman" w:hAnsi="Times New Roman" w:cs="Times New Roman"/>
          <w:sz w:val="28"/>
          <w:szCs w:val="28"/>
        </w:rPr>
        <w:t>would be ideal locations for such centr</w:t>
      </w:r>
      <w:r w:rsidR="005A3A61" w:rsidRPr="005A14CE">
        <w:rPr>
          <w:rFonts w:ascii="Times New Roman" w:eastAsia="Times New Roman" w:hAnsi="Times New Roman" w:cs="Times New Roman"/>
          <w:sz w:val="28"/>
          <w:szCs w:val="28"/>
        </w:rPr>
        <w:t>e</w:t>
      </w:r>
      <w:r w:rsidR="00176941" w:rsidRPr="005A14CE">
        <w:rPr>
          <w:rFonts w:ascii="Times New Roman" w:eastAsia="Times New Roman" w:hAnsi="Times New Roman" w:cs="Times New Roman"/>
          <w:sz w:val="28"/>
          <w:szCs w:val="28"/>
        </w:rPr>
        <w:t xml:space="preserve">s. </w:t>
      </w:r>
    </w:p>
    <w:p w:rsidR="00B06330" w:rsidRPr="005A14CE" w:rsidRDefault="005A3A61" w:rsidP="00B06330">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It was informed that the </w:t>
      </w:r>
      <w:r w:rsidR="00176941" w:rsidRPr="005A14CE">
        <w:rPr>
          <w:rFonts w:ascii="Times New Roman" w:eastAsia="Times New Roman" w:hAnsi="Times New Roman" w:cs="Times New Roman"/>
          <w:sz w:val="28"/>
          <w:szCs w:val="28"/>
        </w:rPr>
        <w:t xml:space="preserve">TCP Department is in the process of formulating guidelines for the  Yoga and </w:t>
      </w:r>
      <w:r w:rsidRPr="005A14CE">
        <w:rPr>
          <w:rFonts w:ascii="Times New Roman" w:eastAsia="Times New Roman" w:hAnsi="Times New Roman" w:cs="Times New Roman"/>
          <w:sz w:val="28"/>
          <w:szCs w:val="28"/>
        </w:rPr>
        <w:t xml:space="preserve">Meditation Centres </w:t>
      </w:r>
      <w:r w:rsidR="00176941" w:rsidRPr="005A14CE">
        <w:rPr>
          <w:rFonts w:ascii="Times New Roman" w:eastAsia="Times New Roman" w:hAnsi="Times New Roman" w:cs="Times New Roman"/>
          <w:sz w:val="28"/>
          <w:szCs w:val="28"/>
        </w:rPr>
        <w:t>where it is suggested that Yoga and Meditation Centers shall be permitted provided that the plots have a mi</w:t>
      </w:r>
      <w:r w:rsidRPr="005A14CE">
        <w:rPr>
          <w:rFonts w:ascii="Times New Roman" w:eastAsia="Times New Roman" w:hAnsi="Times New Roman" w:cs="Times New Roman"/>
          <w:sz w:val="28"/>
          <w:szCs w:val="28"/>
        </w:rPr>
        <w:t xml:space="preserve">nimum area of 50,000 sq. meters and shall have </w:t>
      </w:r>
      <w:r w:rsidR="00176941" w:rsidRPr="005A14CE">
        <w:rPr>
          <w:rFonts w:ascii="Times New Roman" w:eastAsia="Times New Roman" w:hAnsi="Times New Roman" w:cs="Times New Roman"/>
          <w:sz w:val="28"/>
          <w:szCs w:val="28"/>
        </w:rPr>
        <w:t xml:space="preserve">maximum coverage </w:t>
      </w:r>
      <w:r w:rsidRPr="005A14CE">
        <w:rPr>
          <w:rFonts w:ascii="Times New Roman" w:eastAsia="Times New Roman" w:hAnsi="Times New Roman" w:cs="Times New Roman"/>
          <w:sz w:val="28"/>
          <w:szCs w:val="28"/>
        </w:rPr>
        <w:t>of</w:t>
      </w:r>
      <w:r w:rsidR="00176941" w:rsidRPr="005A14CE">
        <w:rPr>
          <w:rFonts w:ascii="Times New Roman" w:eastAsia="Times New Roman" w:hAnsi="Times New Roman" w:cs="Times New Roman"/>
          <w:sz w:val="28"/>
          <w:szCs w:val="28"/>
        </w:rPr>
        <w:t xml:space="preserve"> 5%</w:t>
      </w:r>
      <w:r w:rsidRPr="005A14CE">
        <w:rPr>
          <w:rFonts w:ascii="Times New Roman" w:eastAsia="Times New Roman" w:hAnsi="Times New Roman" w:cs="Times New Roman"/>
          <w:sz w:val="28"/>
          <w:szCs w:val="28"/>
        </w:rPr>
        <w:t xml:space="preserve"> and </w:t>
      </w:r>
      <w:r w:rsidR="00176941" w:rsidRPr="005A14CE">
        <w:rPr>
          <w:rFonts w:ascii="Times New Roman" w:eastAsia="Times New Roman" w:hAnsi="Times New Roman" w:cs="Times New Roman"/>
          <w:sz w:val="28"/>
          <w:szCs w:val="28"/>
        </w:rPr>
        <w:t xml:space="preserve">FAR </w:t>
      </w:r>
      <w:r w:rsidRPr="005A14CE">
        <w:rPr>
          <w:rFonts w:ascii="Times New Roman" w:eastAsia="Times New Roman" w:hAnsi="Times New Roman" w:cs="Times New Roman"/>
          <w:sz w:val="28"/>
          <w:szCs w:val="28"/>
        </w:rPr>
        <w:t>of</w:t>
      </w:r>
      <w:r w:rsidR="00176941" w:rsidRPr="005A14CE">
        <w:rPr>
          <w:rFonts w:ascii="Times New Roman" w:eastAsia="Times New Roman" w:hAnsi="Times New Roman" w:cs="Times New Roman"/>
          <w:sz w:val="28"/>
          <w:szCs w:val="28"/>
        </w:rPr>
        <w:t xml:space="preserve"> 5% </w:t>
      </w:r>
      <w:r w:rsidRPr="005A14CE">
        <w:rPr>
          <w:rFonts w:ascii="Times New Roman" w:eastAsia="Times New Roman" w:hAnsi="Times New Roman" w:cs="Times New Roman"/>
          <w:sz w:val="28"/>
          <w:szCs w:val="28"/>
        </w:rPr>
        <w:t xml:space="preserve">with </w:t>
      </w:r>
      <w:r w:rsidR="00176941" w:rsidRPr="005A14CE">
        <w:rPr>
          <w:rFonts w:ascii="Times New Roman" w:eastAsia="Times New Roman" w:hAnsi="Times New Roman" w:cs="Times New Roman"/>
          <w:sz w:val="28"/>
          <w:szCs w:val="28"/>
        </w:rPr>
        <w:t>maximum</w:t>
      </w:r>
      <w:r w:rsidRPr="005A14CE">
        <w:rPr>
          <w:rFonts w:ascii="Times New Roman" w:eastAsia="Times New Roman" w:hAnsi="Times New Roman" w:cs="Times New Roman"/>
          <w:sz w:val="28"/>
          <w:szCs w:val="28"/>
        </w:rPr>
        <w:t xml:space="preserve"> permissible</w:t>
      </w:r>
      <w:r w:rsidR="00176941" w:rsidRPr="005A14CE">
        <w:rPr>
          <w:rFonts w:ascii="Times New Roman" w:eastAsia="Times New Roman" w:hAnsi="Times New Roman" w:cs="Times New Roman"/>
          <w:sz w:val="28"/>
          <w:szCs w:val="28"/>
        </w:rPr>
        <w:t xml:space="preserve"> height of </w:t>
      </w:r>
      <w:r w:rsidRPr="005A14CE">
        <w:rPr>
          <w:rFonts w:ascii="Times New Roman" w:eastAsia="Times New Roman" w:hAnsi="Times New Roman" w:cs="Times New Roman"/>
          <w:sz w:val="28"/>
          <w:szCs w:val="28"/>
        </w:rPr>
        <w:t>7.6 mts.</w:t>
      </w:r>
      <w:r w:rsidR="00176941" w:rsidRPr="005A14CE">
        <w:rPr>
          <w:rFonts w:ascii="Times New Roman" w:eastAsia="Times New Roman" w:hAnsi="Times New Roman" w:cs="Times New Roman"/>
          <w:sz w:val="28"/>
          <w:szCs w:val="28"/>
        </w:rPr>
        <w:t xml:space="preserve"> </w:t>
      </w:r>
    </w:p>
    <w:p w:rsidR="00B06330" w:rsidRPr="005A14CE" w:rsidRDefault="005A3A61" w:rsidP="00B06330">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The Board observed that </w:t>
      </w:r>
      <w:r w:rsidR="00B06330" w:rsidRPr="005A14CE">
        <w:rPr>
          <w:rFonts w:ascii="Times New Roman" w:eastAsia="Times New Roman" w:hAnsi="Times New Roman" w:cs="Times New Roman"/>
          <w:sz w:val="28"/>
          <w:szCs w:val="28"/>
        </w:rPr>
        <w:t>Yoga and Meditation Centres require tranquil and non polluted environment, which is available in the hinterlands of Goa. It was noted that Yoga and Meditation Centres provides facilities such as shared rooms, conference rooms, therapeutic centers etc. and have various sizes depending on the type of facilities, they provide. The Board considered that in order to provide solitude and spiritual awareness, Yoga and Meditation Centres must have large open areas where the residents/ visitors can experience nature.  It was also felt that these centres must provide basic facilities  such as food and shelter.</w:t>
      </w:r>
    </w:p>
    <w:p w:rsidR="00176941" w:rsidRPr="005A14CE" w:rsidRDefault="009223AA"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Since large hinterland areas could be put under this use, which may involve Orchard/Natural Cover zone also, the Board recommended that such uses shall be permitted only if they have Green Certification and for which purpose, the Board recommended </w:t>
      </w:r>
      <w:r w:rsidR="00176941" w:rsidRPr="005A14CE">
        <w:rPr>
          <w:rFonts w:ascii="Times New Roman" w:eastAsia="Times New Roman" w:hAnsi="Times New Roman" w:cs="Times New Roman"/>
          <w:sz w:val="28"/>
          <w:szCs w:val="28"/>
        </w:rPr>
        <w:t xml:space="preserve">that the Yoga and Meditation </w:t>
      </w:r>
      <w:r w:rsidR="005A3A61" w:rsidRPr="005A14CE">
        <w:rPr>
          <w:rFonts w:ascii="Times New Roman" w:eastAsia="Times New Roman" w:hAnsi="Times New Roman" w:cs="Times New Roman"/>
          <w:sz w:val="28"/>
          <w:szCs w:val="28"/>
        </w:rPr>
        <w:t>C</w:t>
      </w:r>
      <w:r w:rsidR="00176941" w:rsidRPr="005A14CE">
        <w:rPr>
          <w:rFonts w:ascii="Times New Roman" w:eastAsia="Times New Roman" w:hAnsi="Times New Roman" w:cs="Times New Roman"/>
          <w:sz w:val="28"/>
          <w:szCs w:val="28"/>
        </w:rPr>
        <w:t>entr</w:t>
      </w:r>
      <w:r w:rsidR="005A3A61" w:rsidRPr="005A14CE">
        <w:rPr>
          <w:rFonts w:ascii="Times New Roman" w:eastAsia="Times New Roman" w:hAnsi="Times New Roman" w:cs="Times New Roman"/>
          <w:sz w:val="28"/>
          <w:szCs w:val="28"/>
        </w:rPr>
        <w:t>e</w:t>
      </w:r>
      <w:r w:rsidR="00176941" w:rsidRPr="005A14CE">
        <w:rPr>
          <w:rFonts w:ascii="Times New Roman" w:eastAsia="Times New Roman" w:hAnsi="Times New Roman" w:cs="Times New Roman"/>
          <w:sz w:val="28"/>
          <w:szCs w:val="28"/>
        </w:rPr>
        <w:t xml:space="preserve">s </w:t>
      </w:r>
      <w:r w:rsidRPr="005A14CE">
        <w:rPr>
          <w:rFonts w:ascii="Times New Roman" w:eastAsia="Times New Roman" w:hAnsi="Times New Roman" w:cs="Times New Roman"/>
          <w:sz w:val="28"/>
          <w:szCs w:val="28"/>
        </w:rPr>
        <w:t xml:space="preserve">shall necessarily </w:t>
      </w:r>
      <w:r w:rsidR="00176941" w:rsidRPr="005A14CE">
        <w:rPr>
          <w:rFonts w:ascii="Times New Roman" w:eastAsia="Times New Roman" w:hAnsi="Times New Roman" w:cs="Times New Roman"/>
          <w:sz w:val="28"/>
          <w:szCs w:val="28"/>
        </w:rPr>
        <w:t xml:space="preserve">comply with IGBC norms. </w:t>
      </w:r>
    </w:p>
    <w:p w:rsidR="009223AA" w:rsidRPr="005A14CE" w:rsidRDefault="009223AA" w:rsidP="009223AA">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The Board also recommended that Yoga and Meditation Centres shall be exempted from obtaining conversion sanad, as the large properties involved in setting up of such uses would most</w:t>
      </w:r>
      <w:r w:rsidR="00B85518" w:rsidRPr="005A14CE">
        <w:rPr>
          <w:rFonts w:ascii="Times New Roman" w:eastAsia="Times New Roman" w:hAnsi="Times New Roman" w:cs="Times New Roman"/>
          <w:sz w:val="28"/>
          <w:szCs w:val="28"/>
        </w:rPr>
        <w:t>ly</w:t>
      </w:r>
      <w:r w:rsidRPr="005A14CE">
        <w:rPr>
          <w:rFonts w:ascii="Times New Roman" w:eastAsia="Times New Roman" w:hAnsi="Times New Roman" w:cs="Times New Roman"/>
          <w:sz w:val="28"/>
          <w:szCs w:val="28"/>
        </w:rPr>
        <w:t xml:space="preserve"> involve area</w:t>
      </w:r>
      <w:r w:rsidR="00B85518" w:rsidRPr="005A14CE">
        <w:rPr>
          <w:rFonts w:ascii="Times New Roman" w:eastAsia="Times New Roman" w:hAnsi="Times New Roman" w:cs="Times New Roman"/>
          <w:sz w:val="28"/>
          <w:szCs w:val="28"/>
        </w:rPr>
        <w:t>s</w:t>
      </w:r>
      <w:r w:rsidRPr="005A14CE">
        <w:rPr>
          <w:rFonts w:ascii="Times New Roman" w:eastAsia="Times New Roman" w:hAnsi="Times New Roman" w:cs="Times New Roman"/>
          <w:sz w:val="28"/>
          <w:szCs w:val="28"/>
        </w:rPr>
        <w:t xml:space="preserve"> under Orchard </w:t>
      </w:r>
      <w:r w:rsidR="00B85518" w:rsidRPr="005A14CE">
        <w:rPr>
          <w:rFonts w:ascii="Times New Roman" w:eastAsia="Times New Roman" w:hAnsi="Times New Roman" w:cs="Times New Roman"/>
          <w:sz w:val="28"/>
          <w:szCs w:val="28"/>
        </w:rPr>
        <w:t>and</w:t>
      </w:r>
      <w:r w:rsidRPr="005A14CE">
        <w:rPr>
          <w:rFonts w:ascii="Times New Roman" w:eastAsia="Times New Roman" w:hAnsi="Times New Roman" w:cs="Times New Roman"/>
          <w:sz w:val="28"/>
          <w:szCs w:val="28"/>
        </w:rPr>
        <w:t xml:space="preserve"> Natural Cover. </w:t>
      </w:r>
    </w:p>
    <w:p w:rsidR="00B85518" w:rsidRPr="005A14CE" w:rsidRDefault="00B85518"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 xml:space="preserve">Considering all above factors, it was recommended that minimum area required for setting up of Yoga and Meditation </w:t>
      </w:r>
      <w:r w:rsidR="00075B5B" w:rsidRPr="005A14CE">
        <w:rPr>
          <w:rFonts w:ascii="Times New Roman" w:eastAsia="Times New Roman" w:hAnsi="Times New Roman" w:cs="Times New Roman"/>
          <w:sz w:val="28"/>
          <w:szCs w:val="28"/>
        </w:rPr>
        <w:t>C</w:t>
      </w:r>
      <w:r w:rsidRPr="005A14CE">
        <w:rPr>
          <w:rFonts w:ascii="Times New Roman" w:eastAsia="Times New Roman" w:hAnsi="Times New Roman" w:cs="Times New Roman"/>
          <w:sz w:val="28"/>
          <w:szCs w:val="28"/>
        </w:rPr>
        <w:t>entre</w:t>
      </w:r>
      <w:r w:rsidR="00075B5B" w:rsidRPr="005A14CE">
        <w:rPr>
          <w:rFonts w:ascii="Times New Roman" w:eastAsia="Times New Roman" w:hAnsi="Times New Roman" w:cs="Times New Roman"/>
          <w:sz w:val="28"/>
          <w:szCs w:val="28"/>
        </w:rPr>
        <w:t>s</w:t>
      </w:r>
      <w:r w:rsidRPr="005A14CE">
        <w:rPr>
          <w:rFonts w:ascii="Times New Roman" w:eastAsia="Times New Roman" w:hAnsi="Times New Roman" w:cs="Times New Roman"/>
          <w:sz w:val="28"/>
          <w:szCs w:val="28"/>
        </w:rPr>
        <w:t xml:space="preserve"> shall be 1.00 lakh sq.mts. and maximum permissible FAR and coverage shall be 20%.</w:t>
      </w:r>
    </w:p>
    <w:p w:rsidR="00B85518" w:rsidRPr="005A14CE" w:rsidRDefault="00B85518" w:rsidP="00B85518">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CTP (Admn.) was accordingly directed to undertake further procedure of framing the regulations in this regard.</w:t>
      </w:r>
    </w:p>
    <w:p w:rsidR="005D0064" w:rsidRPr="005A14CE" w:rsidRDefault="005D0064" w:rsidP="00176941">
      <w:pPr>
        <w:spacing w:after="0" w:line="276" w:lineRule="auto"/>
        <w:rPr>
          <w:rFonts w:ascii="Times New Roman" w:eastAsia="Times New Roman" w:hAnsi="Times New Roman" w:cs="Times New Roman"/>
          <w:b/>
          <w:sz w:val="28"/>
          <w:szCs w:val="28"/>
        </w:rPr>
      </w:pPr>
    </w:p>
    <w:p w:rsidR="00176941" w:rsidRPr="005A14CE" w:rsidRDefault="00176941" w:rsidP="00176941">
      <w:pPr>
        <w:spacing w:after="0" w:line="276" w:lineRule="auto"/>
        <w:rPr>
          <w:rFonts w:ascii="Times New Roman" w:eastAsia="Times New Roman" w:hAnsi="Times New Roman" w:cs="Times New Roman"/>
          <w:b/>
          <w:sz w:val="28"/>
          <w:szCs w:val="28"/>
        </w:rPr>
      </w:pPr>
      <w:r w:rsidRPr="005A14CE">
        <w:rPr>
          <w:rFonts w:ascii="Times New Roman" w:eastAsia="Times New Roman" w:hAnsi="Times New Roman" w:cs="Times New Roman"/>
          <w:b/>
          <w:sz w:val="28"/>
          <w:szCs w:val="28"/>
        </w:rPr>
        <w:lastRenderedPageBreak/>
        <w:t xml:space="preserve">c) Open Spaces for the residential buildings having 25/ 50 flats.  </w:t>
      </w:r>
    </w:p>
    <w:p w:rsidR="00503CD5" w:rsidRPr="005A14CE" w:rsidRDefault="00503CD5" w:rsidP="00176941">
      <w:pPr>
        <w:spacing w:after="0" w:line="276" w:lineRule="auto"/>
        <w:rPr>
          <w:rFonts w:ascii="Times New Roman" w:eastAsia="Times New Roman" w:hAnsi="Times New Roman" w:cs="Times New Roman"/>
          <w:b/>
          <w:sz w:val="28"/>
          <w:szCs w:val="28"/>
        </w:rPr>
      </w:pPr>
    </w:p>
    <w:p w:rsidR="00176941" w:rsidRPr="005A14CE" w:rsidRDefault="00563CA6"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Member Secretary informed that a</w:t>
      </w:r>
      <w:r w:rsidR="00176941" w:rsidRPr="005A14CE">
        <w:rPr>
          <w:rFonts w:ascii="Times New Roman" w:eastAsia="Times New Roman" w:hAnsi="Times New Roman" w:cs="Times New Roman"/>
          <w:sz w:val="28"/>
          <w:szCs w:val="28"/>
        </w:rPr>
        <w:t xml:space="preserve">s per the Goa Land Development and Building Construction Regulations 2010, </w:t>
      </w:r>
      <w:r w:rsidR="00503CD5" w:rsidRPr="005A14CE">
        <w:rPr>
          <w:rFonts w:ascii="Times New Roman" w:eastAsia="Times New Roman" w:hAnsi="Times New Roman" w:cs="Times New Roman"/>
          <w:sz w:val="28"/>
          <w:szCs w:val="28"/>
        </w:rPr>
        <w:t>w</w:t>
      </w:r>
      <w:r w:rsidR="00176941" w:rsidRPr="005A14CE">
        <w:rPr>
          <w:rFonts w:ascii="Times New Roman" w:eastAsia="Times New Roman" w:hAnsi="Times New Roman" w:cs="Times New Roman"/>
          <w:sz w:val="28"/>
          <w:szCs w:val="28"/>
        </w:rPr>
        <w:t>hen a plot having an area of more than 4000 m2, is used for the construction of a building/group of buildings, 15% of the area</w:t>
      </w:r>
      <w:r w:rsidR="00503CD5" w:rsidRPr="005A14CE">
        <w:rPr>
          <w:rFonts w:ascii="Times New Roman" w:eastAsia="Times New Roman" w:hAnsi="Times New Roman" w:cs="Times New Roman"/>
          <w:sz w:val="28"/>
          <w:szCs w:val="28"/>
        </w:rPr>
        <w:t xml:space="preserve"> is required to </w:t>
      </w:r>
      <w:r w:rsidR="00176941" w:rsidRPr="005A14CE">
        <w:rPr>
          <w:rFonts w:ascii="Times New Roman" w:eastAsia="Times New Roman" w:hAnsi="Times New Roman" w:cs="Times New Roman"/>
          <w:sz w:val="28"/>
          <w:szCs w:val="28"/>
        </w:rPr>
        <w:t>be kept as an open space, in addition to the parking requirements</w:t>
      </w:r>
      <w:r w:rsidR="00503CD5" w:rsidRPr="005A14CE">
        <w:rPr>
          <w:rFonts w:ascii="Times New Roman" w:eastAsia="Times New Roman" w:hAnsi="Times New Roman" w:cs="Times New Roman"/>
          <w:sz w:val="28"/>
          <w:szCs w:val="28"/>
        </w:rPr>
        <w:t xml:space="preserve"> and that t</w:t>
      </w:r>
      <w:r w:rsidR="00176941" w:rsidRPr="005A14CE">
        <w:rPr>
          <w:rFonts w:ascii="Times New Roman" w:eastAsia="Times New Roman" w:hAnsi="Times New Roman" w:cs="Times New Roman"/>
          <w:sz w:val="28"/>
          <w:szCs w:val="28"/>
        </w:rPr>
        <w:t xml:space="preserve">here is no </w:t>
      </w:r>
      <w:r w:rsidR="00503CD5" w:rsidRPr="005A14CE">
        <w:rPr>
          <w:rFonts w:ascii="Times New Roman" w:eastAsia="Times New Roman" w:hAnsi="Times New Roman" w:cs="Times New Roman"/>
          <w:sz w:val="28"/>
          <w:szCs w:val="28"/>
        </w:rPr>
        <w:t xml:space="preserve">such </w:t>
      </w:r>
      <w:r w:rsidR="00176941" w:rsidRPr="005A14CE">
        <w:rPr>
          <w:rFonts w:ascii="Times New Roman" w:eastAsia="Times New Roman" w:hAnsi="Times New Roman" w:cs="Times New Roman"/>
          <w:sz w:val="28"/>
          <w:szCs w:val="28"/>
        </w:rPr>
        <w:t xml:space="preserve">provision for open spaces to be kept for </w:t>
      </w:r>
      <w:r w:rsidR="00503CD5" w:rsidRPr="005A14CE">
        <w:rPr>
          <w:rFonts w:ascii="Times New Roman" w:eastAsia="Times New Roman" w:hAnsi="Times New Roman" w:cs="Times New Roman"/>
          <w:sz w:val="28"/>
          <w:szCs w:val="28"/>
        </w:rPr>
        <w:t xml:space="preserve">construction of a building/group housing in the </w:t>
      </w:r>
      <w:r w:rsidR="00176941" w:rsidRPr="005A14CE">
        <w:rPr>
          <w:rFonts w:ascii="Times New Roman" w:eastAsia="Times New Roman" w:hAnsi="Times New Roman" w:cs="Times New Roman"/>
          <w:sz w:val="28"/>
          <w:szCs w:val="28"/>
        </w:rPr>
        <w:t xml:space="preserve">plots </w:t>
      </w:r>
      <w:r w:rsidR="00503CD5" w:rsidRPr="005A14CE">
        <w:rPr>
          <w:rFonts w:ascii="Times New Roman" w:eastAsia="Times New Roman" w:hAnsi="Times New Roman" w:cs="Times New Roman"/>
          <w:sz w:val="28"/>
          <w:szCs w:val="28"/>
        </w:rPr>
        <w:t>having area less than 4000 m2</w:t>
      </w:r>
      <w:r w:rsidR="00176941" w:rsidRPr="005A14CE">
        <w:rPr>
          <w:rFonts w:ascii="Times New Roman" w:eastAsia="Times New Roman" w:hAnsi="Times New Roman" w:cs="Times New Roman"/>
          <w:sz w:val="28"/>
          <w:szCs w:val="28"/>
        </w:rPr>
        <w:t xml:space="preserve">.  </w:t>
      </w:r>
      <w:r w:rsidR="00503CD5" w:rsidRPr="005A14CE">
        <w:rPr>
          <w:rFonts w:ascii="Times New Roman" w:eastAsia="Times New Roman" w:hAnsi="Times New Roman" w:cs="Times New Roman"/>
          <w:sz w:val="28"/>
          <w:szCs w:val="28"/>
        </w:rPr>
        <w:t>The Board deliberated on the need of having an organised</w:t>
      </w:r>
      <w:r w:rsidR="00176941" w:rsidRPr="005A14CE">
        <w:rPr>
          <w:rFonts w:ascii="Times New Roman" w:eastAsia="Times New Roman" w:hAnsi="Times New Roman" w:cs="Times New Roman"/>
          <w:sz w:val="28"/>
          <w:szCs w:val="28"/>
        </w:rPr>
        <w:t xml:space="preserve"> open space and well defined parking spaces,</w:t>
      </w:r>
      <w:r w:rsidR="00503CD5" w:rsidRPr="005A14CE">
        <w:rPr>
          <w:rFonts w:ascii="Times New Roman" w:eastAsia="Times New Roman" w:hAnsi="Times New Roman" w:cs="Times New Roman"/>
          <w:sz w:val="28"/>
          <w:szCs w:val="28"/>
        </w:rPr>
        <w:t xml:space="preserve"> </w:t>
      </w:r>
      <w:r w:rsidR="00176941" w:rsidRPr="005A14CE">
        <w:rPr>
          <w:rFonts w:ascii="Times New Roman" w:eastAsia="Times New Roman" w:hAnsi="Times New Roman" w:cs="Times New Roman"/>
          <w:sz w:val="28"/>
          <w:szCs w:val="28"/>
        </w:rPr>
        <w:t xml:space="preserve">even for the buildings having </w:t>
      </w:r>
      <w:r w:rsidR="004A2FDC" w:rsidRPr="005A14CE">
        <w:rPr>
          <w:rFonts w:ascii="Times New Roman" w:eastAsia="Times New Roman" w:hAnsi="Times New Roman" w:cs="Times New Roman"/>
          <w:sz w:val="28"/>
          <w:szCs w:val="28"/>
        </w:rPr>
        <w:t>more than 25 residential units and the land involving the area less than 4000 m2,</w:t>
      </w:r>
      <w:r w:rsidR="00176941" w:rsidRPr="005A14CE">
        <w:rPr>
          <w:rFonts w:ascii="Times New Roman" w:eastAsia="Times New Roman" w:hAnsi="Times New Roman" w:cs="Times New Roman"/>
          <w:sz w:val="28"/>
          <w:szCs w:val="28"/>
        </w:rPr>
        <w:t xml:space="preserve"> such that the occupants </w:t>
      </w:r>
      <w:r w:rsidR="004A2FDC" w:rsidRPr="005A14CE">
        <w:rPr>
          <w:rFonts w:ascii="Times New Roman" w:eastAsia="Times New Roman" w:hAnsi="Times New Roman" w:cs="Times New Roman"/>
          <w:sz w:val="28"/>
          <w:szCs w:val="28"/>
        </w:rPr>
        <w:t>could</w:t>
      </w:r>
      <w:r w:rsidR="00176941" w:rsidRPr="005A14CE">
        <w:rPr>
          <w:rFonts w:ascii="Times New Roman" w:eastAsia="Times New Roman" w:hAnsi="Times New Roman" w:cs="Times New Roman"/>
          <w:sz w:val="28"/>
          <w:szCs w:val="28"/>
        </w:rPr>
        <w:t xml:space="preserve"> have </w:t>
      </w:r>
      <w:r w:rsidR="004A2FDC" w:rsidRPr="005A14CE">
        <w:rPr>
          <w:rFonts w:ascii="Times New Roman" w:eastAsia="Times New Roman" w:hAnsi="Times New Roman" w:cs="Times New Roman"/>
          <w:sz w:val="28"/>
          <w:szCs w:val="28"/>
        </w:rPr>
        <w:t>a recreational open space within their plot</w:t>
      </w:r>
      <w:r w:rsidR="00176941" w:rsidRPr="005A14CE">
        <w:rPr>
          <w:rFonts w:ascii="Times New Roman" w:eastAsia="Times New Roman" w:hAnsi="Times New Roman" w:cs="Times New Roman"/>
          <w:sz w:val="28"/>
          <w:szCs w:val="28"/>
        </w:rPr>
        <w:t>.</w:t>
      </w:r>
    </w:p>
    <w:p w:rsidR="004A2FDC" w:rsidRPr="005A14CE" w:rsidRDefault="004A2FDC" w:rsidP="00176941">
      <w:pPr>
        <w:spacing w:line="360" w:lineRule="auto"/>
        <w:ind w:firstLine="720"/>
        <w:jc w:val="both"/>
        <w:rPr>
          <w:rFonts w:ascii="Times New Roman" w:eastAsia="Times New Roman" w:hAnsi="Times New Roman" w:cs="Times New Roman"/>
          <w:sz w:val="28"/>
          <w:szCs w:val="28"/>
        </w:rPr>
      </w:pPr>
      <w:r w:rsidRPr="005A14CE">
        <w:rPr>
          <w:rFonts w:ascii="Times New Roman" w:eastAsia="Times New Roman" w:hAnsi="Times New Roman" w:cs="Times New Roman"/>
          <w:sz w:val="28"/>
          <w:szCs w:val="28"/>
        </w:rPr>
        <w:t>After considering various constraints and practical difficulties that could arise in this regard, t</w:t>
      </w:r>
      <w:r w:rsidR="003D42C0" w:rsidRPr="005A14CE">
        <w:rPr>
          <w:rFonts w:ascii="Times New Roman" w:eastAsia="Times New Roman" w:hAnsi="Times New Roman" w:cs="Times New Roman"/>
          <w:sz w:val="28"/>
          <w:szCs w:val="28"/>
        </w:rPr>
        <w:t>he Board</w:t>
      </w:r>
      <w:r w:rsidRPr="005A14CE">
        <w:rPr>
          <w:rFonts w:ascii="Times New Roman" w:eastAsia="Times New Roman" w:hAnsi="Times New Roman" w:cs="Times New Roman"/>
          <w:sz w:val="28"/>
          <w:szCs w:val="28"/>
        </w:rPr>
        <w:t xml:space="preserve"> felt</w:t>
      </w:r>
      <w:r w:rsidR="003D42C0" w:rsidRPr="005A14CE">
        <w:rPr>
          <w:rFonts w:ascii="Times New Roman" w:eastAsia="Times New Roman" w:hAnsi="Times New Roman" w:cs="Times New Roman"/>
          <w:sz w:val="28"/>
          <w:szCs w:val="28"/>
        </w:rPr>
        <w:t xml:space="preserve"> that </w:t>
      </w:r>
      <w:r w:rsidR="00792FEC" w:rsidRPr="005A14CE">
        <w:rPr>
          <w:rFonts w:ascii="Times New Roman" w:eastAsia="Times New Roman" w:hAnsi="Times New Roman" w:cs="Times New Roman"/>
          <w:sz w:val="28"/>
          <w:szCs w:val="28"/>
        </w:rPr>
        <w:t xml:space="preserve">such a  provision may not be practically feasible and felt the need of </w:t>
      </w:r>
      <w:r w:rsidRPr="005A14CE">
        <w:rPr>
          <w:rFonts w:ascii="Times New Roman" w:eastAsia="Times New Roman" w:hAnsi="Times New Roman" w:cs="Times New Roman"/>
          <w:sz w:val="28"/>
          <w:szCs w:val="28"/>
        </w:rPr>
        <w:t>further deliberat</w:t>
      </w:r>
      <w:r w:rsidR="00792FEC" w:rsidRPr="005A14CE">
        <w:rPr>
          <w:rFonts w:ascii="Times New Roman" w:eastAsia="Times New Roman" w:hAnsi="Times New Roman" w:cs="Times New Roman"/>
          <w:sz w:val="28"/>
          <w:szCs w:val="28"/>
        </w:rPr>
        <w:t>ion on the subject and</w:t>
      </w:r>
      <w:r w:rsidRPr="005A14CE">
        <w:rPr>
          <w:rFonts w:ascii="Times New Roman" w:eastAsia="Times New Roman" w:hAnsi="Times New Roman" w:cs="Times New Roman"/>
          <w:sz w:val="28"/>
          <w:szCs w:val="28"/>
        </w:rPr>
        <w:t xml:space="preserve"> therefore deferred</w:t>
      </w:r>
      <w:r w:rsidR="00792FEC" w:rsidRPr="005A14CE">
        <w:rPr>
          <w:rFonts w:ascii="Times New Roman" w:eastAsia="Times New Roman" w:hAnsi="Times New Roman" w:cs="Times New Roman"/>
          <w:sz w:val="28"/>
          <w:szCs w:val="28"/>
        </w:rPr>
        <w:t xml:space="preserve"> the matter.</w:t>
      </w:r>
    </w:p>
    <w:p w:rsidR="00176941" w:rsidRPr="005A14CE" w:rsidRDefault="00176941" w:rsidP="00176941">
      <w:pPr>
        <w:pStyle w:val="ListParagraph"/>
        <w:spacing w:after="200"/>
        <w:jc w:val="both"/>
        <w:rPr>
          <w:b/>
          <w:sz w:val="28"/>
          <w:szCs w:val="28"/>
        </w:rPr>
      </w:pPr>
    </w:p>
    <w:p w:rsidR="00176941" w:rsidRPr="005A14CE" w:rsidRDefault="00176941" w:rsidP="00176941">
      <w:pPr>
        <w:spacing w:after="200" w:line="240" w:lineRule="auto"/>
        <w:jc w:val="both"/>
        <w:rPr>
          <w:rFonts w:ascii="Times New Roman" w:hAnsi="Times New Roman" w:cs="Times New Roman"/>
          <w:b/>
          <w:sz w:val="28"/>
          <w:szCs w:val="28"/>
        </w:rPr>
      </w:pPr>
      <w:r w:rsidRPr="005A14CE">
        <w:rPr>
          <w:rFonts w:ascii="Times New Roman" w:hAnsi="Times New Roman" w:cs="Times New Roman"/>
          <w:b/>
          <w:sz w:val="28"/>
          <w:szCs w:val="28"/>
        </w:rPr>
        <w:t>Item No. 4: Regarding amendments to be affected to the Goa Land Development and Building Construction Regulations, 2010 - Presentation by Arch. Brian Soares, Member Conservation Committee.</w:t>
      </w:r>
    </w:p>
    <w:p w:rsidR="00176941" w:rsidRPr="005A14CE" w:rsidRDefault="00DC5D46"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informed that i</w:t>
      </w:r>
      <w:r w:rsidR="00176941" w:rsidRPr="005A14CE">
        <w:rPr>
          <w:rFonts w:ascii="Times New Roman" w:hAnsi="Times New Roman" w:cs="Times New Roman"/>
          <w:sz w:val="28"/>
          <w:szCs w:val="28"/>
        </w:rPr>
        <w:t>n the Conservation Committee meeting held on 5/8/2022, several issues were raised pertaining to the regulations</w:t>
      </w:r>
      <w:r w:rsidRPr="005A14CE">
        <w:rPr>
          <w:rFonts w:ascii="Times New Roman" w:hAnsi="Times New Roman" w:cs="Times New Roman"/>
          <w:sz w:val="28"/>
          <w:szCs w:val="28"/>
        </w:rPr>
        <w:t xml:space="preserve"> applicable to the conservation area</w:t>
      </w:r>
      <w:r w:rsidR="00AC61B2" w:rsidRPr="005A14CE">
        <w:rPr>
          <w:rFonts w:ascii="Times New Roman" w:hAnsi="Times New Roman" w:cs="Times New Roman"/>
          <w:sz w:val="28"/>
          <w:szCs w:val="28"/>
        </w:rPr>
        <w:t>,</w:t>
      </w:r>
      <w:r w:rsidRPr="005A14CE">
        <w:rPr>
          <w:rFonts w:ascii="Times New Roman" w:hAnsi="Times New Roman" w:cs="Times New Roman"/>
          <w:sz w:val="28"/>
          <w:szCs w:val="28"/>
        </w:rPr>
        <w:t xml:space="preserve"> </w:t>
      </w:r>
      <w:r w:rsidR="009C0FF7" w:rsidRPr="005A14CE">
        <w:rPr>
          <w:rFonts w:ascii="Times New Roman" w:hAnsi="Times New Roman" w:cs="Times New Roman"/>
          <w:sz w:val="28"/>
          <w:szCs w:val="28"/>
        </w:rPr>
        <w:t>which</w:t>
      </w:r>
      <w:r w:rsidR="00176941" w:rsidRPr="005A14CE">
        <w:rPr>
          <w:rFonts w:ascii="Times New Roman" w:hAnsi="Times New Roman" w:cs="Times New Roman"/>
          <w:sz w:val="28"/>
          <w:szCs w:val="28"/>
        </w:rPr>
        <w:t xml:space="preserve"> required clarity and interpretation.  </w:t>
      </w:r>
    </w:p>
    <w:p w:rsidR="003C2661" w:rsidRPr="005A14CE" w:rsidRDefault="009C0FF7"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further informed that the</w:t>
      </w:r>
      <w:r w:rsidR="00176941" w:rsidRPr="005A14CE">
        <w:rPr>
          <w:rFonts w:ascii="Times New Roman" w:hAnsi="Times New Roman" w:cs="Times New Roman"/>
          <w:sz w:val="28"/>
          <w:szCs w:val="28"/>
        </w:rPr>
        <w:t xml:space="preserve"> member</w:t>
      </w:r>
      <w:r w:rsidRPr="005A14CE">
        <w:rPr>
          <w:rFonts w:ascii="Times New Roman" w:hAnsi="Times New Roman" w:cs="Times New Roman"/>
          <w:sz w:val="28"/>
          <w:szCs w:val="28"/>
        </w:rPr>
        <w:t>s</w:t>
      </w:r>
      <w:r w:rsidR="00176941" w:rsidRPr="005A14CE">
        <w:rPr>
          <w:rFonts w:ascii="Times New Roman" w:hAnsi="Times New Roman" w:cs="Times New Roman"/>
          <w:sz w:val="28"/>
          <w:szCs w:val="28"/>
        </w:rPr>
        <w:t xml:space="preserve"> of the </w:t>
      </w:r>
      <w:r w:rsidRPr="005A14CE">
        <w:rPr>
          <w:rFonts w:ascii="Times New Roman" w:hAnsi="Times New Roman" w:cs="Times New Roman"/>
          <w:sz w:val="28"/>
          <w:szCs w:val="28"/>
        </w:rPr>
        <w:t>Conservation C</w:t>
      </w:r>
      <w:r w:rsidR="00176941" w:rsidRPr="005A14CE">
        <w:rPr>
          <w:rFonts w:ascii="Times New Roman" w:hAnsi="Times New Roman" w:cs="Times New Roman"/>
          <w:sz w:val="28"/>
          <w:szCs w:val="28"/>
        </w:rPr>
        <w:t xml:space="preserve">ommittee </w:t>
      </w:r>
      <w:r w:rsidRPr="005A14CE">
        <w:rPr>
          <w:rFonts w:ascii="Times New Roman" w:hAnsi="Times New Roman" w:cs="Times New Roman"/>
          <w:sz w:val="28"/>
          <w:szCs w:val="28"/>
        </w:rPr>
        <w:t>Arch. Brian Soares</w:t>
      </w:r>
      <w:r w:rsidR="003C2661" w:rsidRPr="005A14CE">
        <w:rPr>
          <w:rFonts w:ascii="Times New Roman" w:hAnsi="Times New Roman" w:cs="Times New Roman"/>
          <w:sz w:val="28"/>
          <w:szCs w:val="28"/>
        </w:rPr>
        <w:t xml:space="preserve"> </w:t>
      </w:r>
      <w:r w:rsidRPr="005A14CE">
        <w:rPr>
          <w:rFonts w:ascii="Times New Roman" w:hAnsi="Times New Roman" w:cs="Times New Roman"/>
          <w:sz w:val="28"/>
          <w:szCs w:val="28"/>
        </w:rPr>
        <w:t>and</w:t>
      </w:r>
      <w:r w:rsidR="003C2661" w:rsidRPr="005A14CE">
        <w:rPr>
          <w:rFonts w:ascii="Times New Roman" w:hAnsi="Times New Roman" w:cs="Times New Roman"/>
          <w:sz w:val="28"/>
          <w:szCs w:val="28"/>
        </w:rPr>
        <w:t xml:space="preserve"> </w:t>
      </w:r>
      <w:r w:rsidRPr="005A14CE">
        <w:rPr>
          <w:rFonts w:ascii="Times New Roman" w:hAnsi="Times New Roman" w:cs="Times New Roman"/>
          <w:sz w:val="28"/>
          <w:szCs w:val="28"/>
        </w:rPr>
        <w:t xml:space="preserve">Arch. Ketak Nachinolkar </w:t>
      </w:r>
      <w:r w:rsidR="00176941" w:rsidRPr="005A14CE">
        <w:rPr>
          <w:rFonts w:ascii="Times New Roman" w:hAnsi="Times New Roman" w:cs="Times New Roman"/>
          <w:sz w:val="28"/>
          <w:szCs w:val="28"/>
        </w:rPr>
        <w:t xml:space="preserve">had offered to place before the Board </w:t>
      </w:r>
      <w:r w:rsidR="003C2661" w:rsidRPr="005A14CE">
        <w:rPr>
          <w:rFonts w:ascii="Times New Roman" w:hAnsi="Times New Roman" w:cs="Times New Roman"/>
          <w:sz w:val="28"/>
          <w:szCs w:val="28"/>
        </w:rPr>
        <w:t xml:space="preserve">the recommendations of the Conservation Committee.  </w:t>
      </w:r>
    </w:p>
    <w:p w:rsidR="003C2661" w:rsidRPr="005A14CE" w:rsidRDefault="003C2661"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Arch. Brian Soares and Arch. Ketak Nachinolkar, who were </w:t>
      </w:r>
      <w:r w:rsidR="00AC61B2" w:rsidRPr="005A14CE">
        <w:rPr>
          <w:rFonts w:ascii="Times New Roman" w:hAnsi="Times New Roman" w:cs="Times New Roman"/>
          <w:sz w:val="28"/>
          <w:szCs w:val="28"/>
        </w:rPr>
        <w:t>present for the meeting as S</w:t>
      </w:r>
      <w:r w:rsidRPr="005A14CE">
        <w:rPr>
          <w:rFonts w:ascii="Times New Roman" w:hAnsi="Times New Roman" w:cs="Times New Roman"/>
          <w:sz w:val="28"/>
          <w:szCs w:val="28"/>
        </w:rPr>
        <w:t>pecial Invitees</w:t>
      </w:r>
      <w:r w:rsidR="00AC61B2" w:rsidRPr="005A14CE">
        <w:rPr>
          <w:rFonts w:ascii="Times New Roman" w:hAnsi="Times New Roman" w:cs="Times New Roman"/>
          <w:sz w:val="28"/>
          <w:szCs w:val="28"/>
        </w:rPr>
        <w:t>,</w:t>
      </w:r>
      <w:r w:rsidRPr="005A14CE">
        <w:rPr>
          <w:rFonts w:ascii="Times New Roman" w:hAnsi="Times New Roman" w:cs="Times New Roman"/>
          <w:sz w:val="28"/>
          <w:szCs w:val="28"/>
        </w:rPr>
        <w:t xml:space="preserve"> then briefed the Board about the discussions held on various aspect</w:t>
      </w:r>
      <w:r w:rsidR="00AC61B2" w:rsidRPr="005A14CE">
        <w:rPr>
          <w:rFonts w:ascii="Times New Roman" w:hAnsi="Times New Roman" w:cs="Times New Roman"/>
          <w:sz w:val="28"/>
          <w:szCs w:val="28"/>
        </w:rPr>
        <w:t xml:space="preserve">s in the Conservation Committee and </w:t>
      </w:r>
      <w:r w:rsidRPr="005A14CE">
        <w:rPr>
          <w:rFonts w:ascii="Times New Roman" w:hAnsi="Times New Roman" w:cs="Times New Roman"/>
          <w:sz w:val="28"/>
          <w:szCs w:val="28"/>
        </w:rPr>
        <w:t>informed about the</w:t>
      </w:r>
      <w:r w:rsidR="00AC61B2" w:rsidRPr="005A14CE">
        <w:rPr>
          <w:rFonts w:ascii="Times New Roman" w:hAnsi="Times New Roman" w:cs="Times New Roman"/>
          <w:sz w:val="28"/>
          <w:szCs w:val="28"/>
        </w:rPr>
        <w:t xml:space="preserve"> following</w:t>
      </w:r>
      <w:r w:rsidRPr="005A14CE">
        <w:rPr>
          <w:rFonts w:ascii="Times New Roman" w:hAnsi="Times New Roman" w:cs="Times New Roman"/>
          <w:sz w:val="28"/>
          <w:szCs w:val="28"/>
        </w:rPr>
        <w:t>:</w:t>
      </w:r>
    </w:p>
    <w:p w:rsidR="003C2661" w:rsidRPr="005A14CE" w:rsidRDefault="003C2661" w:rsidP="003C2661">
      <w:pPr>
        <w:pStyle w:val="ListParagraph"/>
        <w:numPr>
          <w:ilvl w:val="0"/>
          <w:numId w:val="6"/>
        </w:numPr>
        <w:jc w:val="both"/>
        <w:rPr>
          <w:sz w:val="28"/>
          <w:szCs w:val="28"/>
        </w:rPr>
      </w:pPr>
      <w:r w:rsidRPr="005A14CE">
        <w:rPr>
          <w:sz w:val="28"/>
          <w:szCs w:val="28"/>
        </w:rPr>
        <w:lastRenderedPageBreak/>
        <w:t>The conservation area earmarked in the ODP should be worked on separately and independently before adding and merging it with the ODP.</w:t>
      </w:r>
    </w:p>
    <w:p w:rsidR="003C2661" w:rsidRPr="005A14CE" w:rsidRDefault="003C2661" w:rsidP="003C2661">
      <w:pPr>
        <w:pStyle w:val="ListParagraph"/>
        <w:numPr>
          <w:ilvl w:val="0"/>
          <w:numId w:val="6"/>
        </w:numPr>
        <w:jc w:val="both"/>
        <w:rPr>
          <w:sz w:val="28"/>
          <w:szCs w:val="28"/>
        </w:rPr>
      </w:pPr>
      <w:r w:rsidRPr="005A14CE">
        <w:rPr>
          <w:sz w:val="28"/>
          <w:szCs w:val="28"/>
        </w:rPr>
        <w:t xml:space="preserve"> Road widths within conservation should be sensitive to the existing structures and not be based on the adjacent ODP road outside the Conservation limits.</w:t>
      </w:r>
    </w:p>
    <w:p w:rsidR="003C2661" w:rsidRPr="005A14CE" w:rsidRDefault="003C2661" w:rsidP="003C2661">
      <w:pPr>
        <w:pStyle w:val="ListParagraph"/>
        <w:numPr>
          <w:ilvl w:val="0"/>
          <w:numId w:val="6"/>
        </w:numPr>
        <w:jc w:val="both"/>
        <w:rPr>
          <w:sz w:val="28"/>
          <w:szCs w:val="28"/>
        </w:rPr>
      </w:pPr>
      <w:r w:rsidRPr="005A14CE">
        <w:rPr>
          <w:sz w:val="28"/>
          <w:szCs w:val="28"/>
        </w:rPr>
        <w:t>Even areas within conservation zone to be broken into categories/zones, to be sensitive to the adjacent heritage and structures and to provide relaxations in less sensitive areas.</w:t>
      </w:r>
    </w:p>
    <w:p w:rsidR="003C2661" w:rsidRPr="005A14CE" w:rsidRDefault="003C2661" w:rsidP="003C2661">
      <w:pPr>
        <w:pStyle w:val="ListParagraph"/>
        <w:numPr>
          <w:ilvl w:val="0"/>
          <w:numId w:val="6"/>
        </w:numPr>
        <w:jc w:val="both"/>
        <w:rPr>
          <w:sz w:val="28"/>
          <w:szCs w:val="28"/>
        </w:rPr>
      </w:pPr>
      <w:r w:rsidRPr="005A14CE">
        <w:rPr>
          <w:sz w:val="28"/>
          <w:szCs w:val="28"/>
        </w:rPr>
        <w:t>A special set of Guidelines/ regulations to be set out for buildings within Conservation area.</w:t>
      </w:r>
    </w:p>
    <w:p w:rsidR="003C2661" w:rsidRPr="005A14CE" w:rsidRDefault="003C2661" w:rsidP="003C2661">
      <w:pPr>
        <w:pStyle w:val="ListParagraph"/>
        <w:numPr>
          <w:ilvl w:val="0"/>
          <w:numId w:val="6"/>
        </w:numPr>
        <w:jc w:val="both"/>
        <w:rPr>
          <w:sz w:val="28"/>
          <w:szCs w:val="28"/>
        </w:rPr>
      </w:pPr>
      <w:r w:rsidRPr="005A14CE">
        <w:rPr>
          <w:sz w:val="28"/>
          <w:szCs w:val="28"/>
        </w:rPr>
        <w:t>A set of guidelines to be made for signages, electrical fittings etc. and which can be implemented over time with the intervention of the local bodies.</w:t>
      </w:r>
    </w:p>
    <w:p w:rsidR="003C2661" w:rsidRPr="005A14CE" w:rsidRDefault="003C2661" w:rsidP="003C2661">
      <w:pPr>
        <w:pStyle w:val="ListParagraph"/>
        <w:numPr>
          <w:ilvl w:val="0"/>
          <w:numId w:val="6"/>
        </w:numPr>
        <w:jc w:val="both"/>
        <w:rPr>
          <w:sz w:val="28"/>
          <w:szCs w:val="28"/>
        </w:rPr>
      </w:pPr>
      <w:r w:rsidRPr="005A14CE">
        <w:rPr>
          <w:sz w:val="28"/>
          <w:szCs w:val="28"/>
        </w:rPr>
        <w:t>To implement mandatory façade treatment with the assistance provided by local bodies.</w:t>
      </w:r>
    </w:p>
    <w:p w:rsidR="003C2661" w:rsidRPr="005A14CE" w:rsidRDefault="003C2661" w:rsidP="003C2661">
      <w:pPr>
        <w:pStyle w:val="ListParagraph"/>
        <w:jc w:val="both"/>
        <w:rPr>
          <w:sz w:val="28"/>
          <w:szCs w:val="28"/>
        </w:rPr>
      </w:pPr>
    </w:p>
    <w:p w:rsidR="003C2661" w:rsidRPr="005A14CE" w:rsidRDefault="003C2661" w:rsidP="0008259E">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agreed to the recommendations as made by the Conservation Committee and it was decided that the recommendations shall be worked further upon, such that the same are implemented at the earliest.</w:t>
      </w:r>
    </w:p>
    <w:p w:rsidR="0008259E" w:rsidRPr="005A14CE" w:rsidRDefault="003C2661" w:rsidP="0008259E">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During the discussion, Arch. Brian Soares </w:t>
      </w:r>
      <w:r w:rsidR="00AC61B2" w:rsidRPr="005A14CE">
        <w:rPr>
          <w:rFonts w:ascii="Times New Roman" w:hAnsi="Times New Roman" w:cs="Times New Roman"/>
          <w:sz w:val="28"/>
          <w:szCs w:val="28"/>
        </w:rPr>
        <w:t xml:space="preserve">while deliberating on general regulations under GLDBCR-2010, </w:t>
      </w:r>
      <w:r w:rsidRPr="005A14CE">
        <w:rPr>
          <w:rFonts w:ascii="Times New Roman" w:hAnsi="Times New Roman" w:cs="Times New Roman"/>
          <w:sz w:val="28"/>
          <w:szCs w:val="28"/>
        </w:rPr>
        <w:t>brought to the notice of the Board that</w:t>
      </w:r>
      <w:r w:rsidR="0008259E" w:rsidRPr="005A14CE">
        <w:rPr>
          <w:rFonts w:ascii="Times New Roman" w:hAnsi="Times New Roman" w:cs="Times New Roman"/>
          <w:sz w:val="28"/>
          <w:szCs w:val="28"/>
        </w:rPr>
        <w:t xml:space="preserve"> </w:t>
      </w:r>
      <w:r w:rsidR="00537522" w:rsidRPr="005A14CE">
        <w:rPr>
          <w:rFonts w:ascii="Times New Roman" w:hAnsi="Times New Roman" w:cs="Times New Roman"/>
          <w:sz w:val="28"/>
          <w:szCs w:val="28"/>
        </w:rPr>
        <w:t xml:space="preserve">many residential sub divisions are losing their character </w:t>
      </w:r>
      <w:r w:rsidR="0008259E" w:rsidRPr="005A14CE">
        <w:rPr>
          <w:rFonts w:ascii="Times New Roman" w:hAnsi="Times New Roman" w:cs="Times New Roman"/>
          <w:sz w:val="28"/>
          <w:szCs w:val="28"/>
        </w:rPr>
        <w:t>due to</w:t>
      </w:r>
      <w:r w:rsidR="00537522" w:rsidRPr="005A14CE">
        <w:rPr>
          <w:rFonts w:ascii="Times New Roman" w:hAnsi="Times New Roman" w:cs="Times New Roman"/>
          <w:sz w:val="28"/>
          <w:szCs w:val="28"/>
        </w:rPr>
        <w:t xml:space="preserve"> vertical mu</w:t>
      </w:r>
      <w:r w:rsidR="0008259E" w:rsidRPr="005A14CE">
        <w:rPr>
          <w:rFonts w:ascii="Times New Roman" w:hAnsi="Times New Roman" w:cs="Times New Roman"/>
          <w:sz w:val="28"/>
          <w:szCs w:val="28"/>
        </w:rPr>
        <w:t>lti-</w:t>
      </w:r>
      <w:r w:rsidR="00537522" w:rsidRPr="005A14CE">
        <w:rPr>
          <w:rFonts w:ascii="Times New Roman" w:hAnsi="Times New Roman" w:cs="Times New Roman"/>
          <w:sz w:val="28"/>
          <w:szCs w:val="28"/>
        </w:rPr>
        <w:t>family dwelling</w:t>
      </w:r>
      <w:r w:rsidR="0008259E" w:rsidRPr="005A14CE">
        <w:rPr>
          <w:rFonts w:ascii="Times New Roman" w:hAnsi="Times New Roman" w:cs="Times New Roman"/>
          <w:sz w:val="28"/>
          <w:szCs w:val="28"/>
        </w:rPr>
        <w:t>s</w:t>
      </w:r>
      <w:r w:rsidR="00537522" w:rsidRPr="005A14CE">
        <w:rPr>
          <w:rFonts w:ascii="Times New Roman" w:hAnsi="Times New Roman" w:cs="Times New Roman"/>
          <w:sz w:val="28"/>
          <w:szCs w:val="28"/>
        </w:rPr>
        <w:t xml:space="preserve"> coming up</w:t>
      </w:r>
      <w:r w:rsidR="0008259E" w:rsidRPr="005A14CE">
        <w:rPr>
          <w:rFonts w:ascii="Times New Roman" w:hAnsi="Times New Roman" w:cs="Times New Roman"/>
          <w:sz w:val="28"/>
          <w:szCs w:val="28"/>
        </w:rPr>
        <w:t xml:space="preserve"> in the approved layout, </w:t>
      </w:r>
      <w:r w:rsidR="00537522" w:rsidRPr="005A14CE">
        <w:rPr>
          <w:rFonts w:ascii="Times New Roman" w:hAnsi="Times New Roman" w:cs="Times New Roman"/>
          <w:sz w:val="28"/>
          <w:szCs w:val="28"/>
        </w:rPr>
        <w:t xml:space="preserve">thereby destroying the streetscape in </w:t>
      </w:r>
      <w:r w:rsidR="0008259E" w:rsidRPr="005A14CE">
        <w:rPr>
          <w:rFonts w:ascii="Times New Roman" w:hAnsi="Times New Roman" w:cs="Times New Roman"/>
          <w:sz w:val="28"/>
          <w:szCs w:val="28"/>
        </w:rPr>
        <w:t>such</w:t>
      </w:r>
      <w:r w:rsidR="00537522" w:rsidRPr="005A14CE">
        <w:rPr>
          <w:rFonts w:ascii="Times New Roman" w:hAnsi="Times New Roman" w:cs="Times New Roman"/>
          <w:sz w:val="28"/>
          <w:szCs w:val="28"/>
        </w:rPr>
        <w:t xml:space="preserve"> colon</w:t>
      </w:r>
      <w:r w:rsidR="0008259E" w:rsidRPr="005A14CE">
        <w:rPr>
          <w:rFonts w:ascii="Times New Roman" w:hAnsi="Times New Roman" w:cs="Times New Roman"/>
          <w:sz w:val="28"/>
          <w:szCs w:val="28"/>
        </w:rPr>
        <w:t>ies and therefore expressed that the heights in such sub-division layouts be restricted to 9.00 mts. to maintain the uniformity.</w:t>
      </w:r>
    </w:p>
    <w:p w:rsidR="00537522" w:rsidRPr="005A14CE" w:rsidRDefault="00537522" w:rsidP="0008259E">
      <w:pPr>
        <w:spacing w:line="360" w:lineRule="auto"/>
        <w:ind w:firstLine="360"/>
        <w:jc w:val="both"/>
        <w:rPr>
          <w:rFonts w:ascii="Times New Roman" w:hAnsi="Times New Roman" w:cs="Times New Roman"/>
          <w:sz w:val="28"/>
          <w:szCs w:val="28"/>
        </w:rPr>
      </w:pPr>
      <w:r w:rsidRPr="005A14CE">
        <w:rPr>
          <w:rFonts w:ascii="Times New Roman" w:hAnsi="Times New Roman" w:cs="Times New Roman"/>
          <w:sz w:val="28"/>
          <w:szCs w:val="28"/>
        </w:rPr>
        <w:t xml:space="preserve"> </w:t>
      </w:r>
      <w:r w:rsidR="0008259E" w:rsidRPr="005A14CE">
        <w:rPr>
          <w:rFonts w:ascii="Times New Roman" w:hAnsi="Times New Roman" w:cs="Times New Roman"/>
          <w:sz w:val="28"/>
          <w:szCs w:val="28"/>
        </w:rPr>
        <w:tab/>
        <w:t xml:space="preserve">Arch. Brian Soares  </w:t>
      </w:r>
      <w:r w:rsidR="00AC61B2" w:rsidRPr="005A14CE">
        <w:rPr>
          <w:rFonts w:ascii="Times New Roman" w:hAnsi="Times New Roman" w:cs="Times New Roman"/>
          <w:sz w:val="28"/>
          <w:szCs w:val="28"/>
        </w:rPr>
        <w:t>also</w:t>
      </w:r>
      <w:r w:rsidR="0008259E" w:rsidRPr="005A14CE">
        <w:rPr>
          <w:rFonts w:ascii="Times New Roman" w:hAnsi="Times New Roman" w:cs="Times New Roman"/>
          <w:sz w:val="28"/>
          <w:szCs w:val="28"/>
        </w:rPr>
        <w:t xml:space="preserve"> opined </w:t>
      </w:r>
      <w:r w:rsidRPr="005A14CE">
        <w:rPr>
          <w:rFonts w:ascii="Times New Roman" w:hAnsi="Times New Roman" w:cs="Times New Roman"/>
          <w:sz w:val="28"/>
          <w:szCs w:val="28"/>
        </w:rPr>
        <w:t>that the</w:t>
      </w:r>
      <w:r w:rsidR="0008259E" w:rsidRPr="005A14CE">
        <w:rPr>
          <w:rFonts w:ascii="Times New Roman" w:hAnsi="Times New Roman" w:cs="Times New Roman"/>
          <w:sz w:val="28"/>
          <w:szCs w:val="28"/>
        </w:rPr>
        <w:t xml:space="preserve"> regulations pertaining to dropping of</w:t>
      </w:r>
      <w:r w:rsidRPr="005A14CE">
        <w:rPr>
          <w:rFonts w:ascii="Times New Roman" w:hAnsi="Times New Roman" w:cs="Times New Roman"/>
          <w:sz w:val="28"/>
          <w:szCs w:val="28"/>
        </w:rPr>
        <w:t xml:space="preserve"> FAR </w:t>
      </w:r>
      <w:r w:rsidR="0008259E" w:rsidRPr="005A14CE">
        <w:rPr>
          <w:rFonts w:ascii="Times New Roman" w:hAnsi="Times New Roman" w:cs="Times New Roman"/>
          <w:sz w:val="28"/>
          <w:szCs w:val="28"/>
        </w:rPr>
        <w:t xml:space="preserve"> by 20% </w:t>
      </w:r>
      <w:r w:rsidRPr="005A14CE">
        <w:rPr>
          <w:rFonts w:ascii="Times New Roman" w:hAnsi="Times New Roman" w:cs="Times New Roman"/>
          <w:sz w:val="28"/>
          <w:szCs w:val="28"/>
        </w:rPr>
        <w:t xml:space="preserve">for </w:t>
      </w:r>
      <w:r w:rsidR="0008259E" w:rsidRPr="005A14CE">
        <w:rPr>
          <w:rFonts w:ascii="Times New Roman" w:hAnsi="Times New Roman" w:cs="Times New Roman"/>
          <w:sz w:val="28"/>
          <w:szCs w:val="28"/>
        </w:rPr>
        <w:t>a</w:t>
      </w:r>
      <w:r w:rsidRPr="005A14CE">
        <w:rPr>
          <w:rFonts w:ascii="Times New Roman" w:hAnsi="Times New Roman" w:cs="Times New Roman"/>
          <w:sz w:val="28"/>
          <w:szCs w:val="28"/>
        </w:rPr>
        <w:t>malgama</w:t>
      </w:r>
      <w:r w:rsidR="0008259E" w:rsidRPr="005A14CE">
        <w:rPr>
          <w:rFonts w:ascii="Times New Roman" w:hAnsi="Times New Roman" w:cs="Times New Roman"/>
          <w:sz w:val="28"/>
          <w:szCs w:val="28"/>
        </w:rPr>
        <w:t xml:space="preserve">ted plots in approved sub-division </w:t>
      </w:r>
      <w:r w:rsidRPr="005A14CE">
        <w:rPr>
          <w:rFonts w:ascii="Times New Roman" w:hAnsi="Times New Roman" w:cs="Times New Roman"/>
          <w:sz w:val="28"/>
          <w:szCs w:val="28"/>
        </w:rPr>
        <w:t>be withdraw</w:t>
      </w:r>
      <w:r w:rsidR="0008259E" w:rsidRPr="005A14CE">
        <w:rPr>
          <w:rFonts w:ascii="Times New Roman" w:hAnsi="Times New Roman" w:cs="Times New Roman"/>
          <w:sz w:val="28"/>
          <w:szCs w:val="28"/>
        </w:rPr>
        <w:t>n</w:t>
      </w:r>
      <w:r w:rsidRPr="005A14CE">
        <w:rPr>
          <w:rFonts w:ascii="Times New Roman" w:hAnsi="Times New Roman" w:cs="Times New Roman"/>
          <w:sz w:val="28"/>
          <w:szCs w:val="28"/>
        </w:rPr>
        <w:t xml:space="preserve"> and instead a height restriction be enforced within housing colonies </w:t>
      </w:r>
      <w:r w:rsidR="0008259E" w:rsidRPr="005A14CE">
        <w:rPr>
          <w:rFonts w:ascii="Times New Roman" w:hAnsi="Times New Roman" w:cs="Times New Roman"/>
          <w:sz w:val="28"/>
          <w:szCs w:val="28"/>
        </w:rPr>
        <w:t xml:space="preserve">to maintain </w:t>
      </w:r>
      <w:r w:rsidRPr="005A14CE">
        <w:rPr>
          <w:rFonts w:ascii="Times New Roman" w:hAnsi="Times New Roman" w:cs="Times New Roman"/>
          <w:sz w:val="28"/>
          <w:szCs w:val="28"/>
        </w:rPr>
        <w:t xml:space="preserve"> the character.</w:t>
      </w:r>
    </w:p>
    <w:p w:rsidR="00537522" w:rsidRPr="005A14CE" w:rsidRDefault="0008259E" w:rsidP="0008259E">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Further, Arch. Brian Soares also expressed that o</w:t>
      </w:r>
      <w:r w:rsidR="00537522" w:rsidRPr="005A14CE">
        <w:rPr>
          <w:rFonts w:ascii="Times New Roman" w:hAnsi="Times New Roman" w:cs="Times New Roman"/>
          <w:sz w:val="28"/>
          <w:szCs w:val="28"/>
        </w:rPr>
        <w:t>nce a particular zoning has been allocated to an area namely VP1 &amp; VP2</w:t>
      </w:r>
      <w:r w:rsidRPr="005A14CE">
        <w:rPr>
          <w:rFonts w:ascii="Times New Roman" w:hAnsi="Times New Roman" w:cs="Times New Roman"/>
          <w:sz w:val="28"/>
          <w:szCs w:val="28"/>
        </w:rPr>
        <w:t>,</w:t>
      </w:r>
      <w:r w:rsidR="00537522" w:rsidRPr="005A14CE">
        <w:rPr>
          <w:rFonts w:ascii="Times New Roman" w:hAnsi="Times New Roman" w:cs="Times New Roman"/>
          <w:sz w:val="28"/>
          <w:szCs w:val="28"/>
        </w:rPr>
        <w:t xml:space="preserve"> it is not fair that one gets further penalised on the basis </w:t>
      </w:r>
      <w:r w:rsidRPr="005A14CE">
        <w:rPr>
          <w:rFonts w:ascii="Times New Roman" w:hAnsi="Times New Roman" w:cs="Times New Roman"/>
          <w:sz w:val="28"/>
          <w:szCs w:val="28"/>
        </w:rPr>
        <w:t xml:space="preserve">of plot </w:t>
      </w:r>
      <w:r w:rsidR="00AC61B2" w:rsidRPr="005A14CE">
        <w:rPr>
          <w:rFonts w:ascii="Times New Roman" w:hAnsi="Times New Roman" w:cs="Times New Roman"/>
          <w:sz w:val="28"/>
          <w:szCs w:val="28"/>
        </w:rPr>
        <w:t xml:space="preserve">areas </w:t>
      </w:r>
      <w:r w:rsidRPr="005A14CE">
        <w:rPr>
          <w:rFonts w:ascii="Times New Roman" w:hAnsi="Times New Roman" w:cs="Times New Roman"/>
          <w:sz w:val="28"/>
          <w:szCs w:val="28"/>
        </w:rPr>
        <w:t xml:space="preserve">being more than 4000 m2, </w:t>
      </w:r>
      <w:r w:rsidR="00AC61B2" w:rsidRPr="005A14CE">
        <w:rPr>
          <w:rFonts w:ascii="Times New Roman" w:hAnsi="Times New Roman" w:cs="Times New Roman"/>
          <w:sz w:val="28"/>
          <w:szCs w:val="28"/>
        </w:rPr>
        <w:t>and</w:t>
      </w:r>
      <w:r w:rsidRPr="005A14CE">
        <w:rPr>
          <w:rFonts w:ascii="Times New Roman" w:hAnsi="Times New Roman" w:cs="Times New Roman"/>
          <w:sz w:val="28"/>
          <w:szCs w:val="28"/>
        </w:rPr>
        <w:t xml:space="preserve"> suggested that</w:t>
      </w:r>
      <w:r w:rsidR="00537522" w:rsidRPr="005A14CE">
        <w:rPr>
          <w:rFonts w:ascii="Times New Roman" w:hAnsi="Times New Roman" w:cs="Times New Roman"/>
          <w:sz w:val="28"/>
          <w:szCs w:val="28"/>
        </w:rPr>
        <w:t xml:space="preserve"> dropping of FAR for plots </w:t>
      </w:r>
      <w:r w:rsidR="00AC61B2" w:rsidRPr="005A14CE">
        <w:rPr>
          <w:rFonts w:ascii="Times New Roman" w:hAnsi="Times New Roman" w:cs="Times New Roman"/>
          <w:sz w:val="28"/>
          <w:szCs w:val="28"/>
        </w:rPr>
        <w:t xml:space="preserve">having area </w:t>
      </w:r>
      <w:r w:rsidR="00537522" w:rsidRPr="005A14CE">
        <w:rPr>
          <w:rFonts w:ascii="Times New Roman" w:hAnsi="Times New Roman" w:cs="Times New Roman"/>
          <w:sz w:val="28"/>
          <w:szCs w:val="28"/>
        </w:rPr>
        <w:t>more than 4000.0</w:t>
      </w:r>
      <w:r w:rsidRPr="005A14CE">
        <w:rPr>
          <w:rFonts w:ascii="Times New Roman" w:hAnsi="Times New Roman" w:cs="Times New Roman"/>
          <w:sz w:val="28"/>
          <w:szCs w:val="28"/>
        </w:rPr>
        <w:t>0</w:t>
      </w:r>
      <w:r w:rsidR="00537522" w:rsidRPr="005A14CE">
        <w:rPr>
          <w:rFonts w:ascii="Times New Roman" w:hAnsi="Times New Roman" w:cs="Times New Roman"/>
          <w:sz w:val="28"/>
          <w:szCs w:val="28"/>
        </w:rPr>
        <w:t xml:space="preserve"> m2 be done away</w:t>
      </w:r>
      <w:r w:rsidRPr="005A14CE">
        <w:rPr>
          <w:rFonts w:ascii="Times New Roman" w:hAnsi="Times New Roman" w:cs="Times New Roman"/>
          <w:sz w:val="28"/>
          <w:szCs w:val="28"/>
        </w:rPr>
        <w:t>,</w:t>
      </w:r>
      <w:r w:rsidR="00537522" w:rsidRPr="005A14CE">
        <w:rPr>
          <w:rFonts w:ascii="Times New Roman" w:hAnsi="Times New Roman" w:cs="Times New Roman"/>
          <w:sz w:val="28"/>
          <w:szCs w:val="28"/>
        </w:rPr>
        <w:t xml:space="preserve"> </w:t>
      </w:r>
      <w:r w:rsidRPr="005A14CE">
        <w:rPr>
          <w:rFonts w:ascii="Times New Roman" w:hAnsi="Times New Roman" w:cs="Times New Roman"/>
          <w:sz w:val="28"/>
          <w:szCs w:val="28"/>
        </w:rPr>
        <w:t>e</w:t>
      </w:r>
      <w:r w:rsidR="00537522" w:rsidRPr="005A14CE">
        <w:rPr>
          <w:rFonts w:ascii="Times New Roman" w:hAnsi="Times New Roman" w:cs="Times New Roman"/>
          <w:sz w:val="28"/>
          <w:szCs w:val="28"/>
        </w:rPr>
        <w:t xml:space="preserve">specially considering the cost of estate in </w:t>
      </w:r>
      <w:r w:rsidRPr="005A14CE">
        <w:rPr>
          <w:rFonts w:ascii="Times New Roman" w:hAnsi="Times New Roman" w:cs="Times New Roman"/>
          <w:sz w:val="28"/>
          <w:szCs w:val="28"/>
        </w:rPr>
        <w:t>today’s</w:t>
      </w:r>
      <w:r w:rsidR="00537522" w:rsidRPr="005A14CE">
        <w:rPr>
          <w:rFonts w:ascii="Times New Roman" w:hAnsi="Times New Roman" w:cs="Times New Roman"/>
          <w:sz w:val="28"/>
          <w:szCs w:val="28"/>
        </w:rPr>
        <w:t xml:space="preserve"> times.</w:t>
      </w:r>
    </w:p>
    <w:p w:rsidR="005D0064" w:rsidRPr="005A14CE" w:rsidRDefault="005D0064" w:rsidP="0008259E">
      <w:pPr>
        <w:spacing w:line="360" w:lineRule="auto"/>
        <w:ind w:firstLine="720"/>
        <w:jc w:val="both"/>
        <w:rPr>
          <w:rFonts w:ascii="Times New Roman" w:hAnsi="Times New Roman" w:cs="Times New Roman"/>
          <w:sz w:val="28"/>
          <w:szCs w:val="28"/>
        </w:rPr>
      </w:pPr>
    </w:p>
    <w:p w:rsidR="008B2F5A" w:rsidRPr="005A14CE" w:rsidRDefault="0008259E" w:rsidP="0008259E">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lastRenderedPageBreak/>
        <w:t xml:space="preserve">The Board took note of the opinion put forward by Arch. Brian Soares and was of the opinion that the issues pertains to the amendment to the regulations and </w:t>
      </w:r>
      <w:r w:rsidR="00AC61B2" w:rsidRPr="005A14CE">
        <w:rPr>
          <w:rFonts w:ascii="Times New Roman" w:hAnsi="Times New Roman" w:cs="Times New Roman"/>
          <w:sz w:val="28"/>
          <w:szCs w:val="28"/>
        </w:rPr>
        <w:t xml:space="preserve">shall also </w:t>
      </w:r>
      <w:r w:rsidRPr="005A14CE">
        <w:rPr>
          <w:rFonts w:ascii="Times New Roman" w:hAnsi="Times New Roman" w:cs="Times New Roman"/>
          <w:sz w:val="28"/>
          <w:szCs w:val="28"/>
        </w:rPr>
        <w:t xml:space="preserve">require change in Regional Plan policies and </w:t>
      </w:r>
      <w:r w:rsidR="00AC61B2" w:rsidRPr="005A14CE">
        <w:rPr>
          <w:rFonts w:ascii="Times New Roman" w:hAnsi="Times New Roman" w:cs="Times New Roman"/>
          <w:sz w:val="28"/>
          <w:szCs w:val="28"/>
        </w:rPr>
        <w:t xml:space="preserve">therefore </w:t>
      </w:r>
      <w:r w:rsidRPr="005A14CE">
        <w:rPr>
          <w:rFonts w:ascii="Times New Roman" w:hAnsi="Times New Roman" w:cs="Times New Roman"/>
          <w:sz w:val="28"/>
          <w:szCs w:val="28"/>
        </w:rPr>
        <w:t xml:space="preserve">felt that the same need to be dealt at the appropriate time. </w:t>
      </w:r>
    </w:p>
    <w:p w:rsidR="00537522" w:rsidRPr="005A14CE" w:rsidRDefault="0008259E" w:rsidP="0008259E">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therefore refrained</w:t>
      </w:r>
      <w:r w:rsidR="008B2F5A" w:rsidRPr="005A14CE">
        <w:rPr>
          <w:rFonts w:ascii="Times New Roman" w:hAnsi="Times New Roman" w:cs="Times New Roman"/>
          <w:sz w:val="28"/>
          <w:szCs w:val="28"/>
        </w:rPr>
        <w:t xml:space="preserve"> on making any specific comment</w:t>
      </w:r>
      <w:r w:rsidRPr="005A14CE">
        <w:rPr>
          <w:rFonts w:ascii="Times New Roman" w:hAnsi="Times New Roman" w:cs="Times New Roman"/>
          <w:sz w:val="28"/>
          <w:szCs w:val="28"/>
        </w:rPr>
        <w:t xml:space="preserve">/recommendation on </w:t>
      </w:r>
      <w:r w:rsidR="008B2F5A" w:rsidRPr="005A14CE">
        <w:rPr>
          <w:rFonts w:ascii="Times New Roman" w:hAnsi="Times New Roman" w:cs="Times New Roman"/>
          <w:sz w:val="28"/>
          <w:szCs w:val="28"/>
        </w:rPr>
        <w:t>the opinion expressed by Arch. Brian Soares.</w:t>
      </w:r>
    </w:p>
    <w:p w:rsidR="00176941" w:rsidRPr="005A14CE" w:rsidRDefault="00176941" w:rsidP="00176941">
      <w:pPr>
        <w:pStyle w:val="ListParagraph"/>
        <w:spacing w:after="200"/>
        <w:ind w:left="0"/>
        <w:jc w:val="both"/>
        <w:rPr>
          <w:b/>
          <w:sz w:val="28"/>
          <w:szCs w:val="28"/>
        </w:rPr>
      </w:pPr>
    </w:p>
    <w:p w:rsidR="00176941" w:rsidRPr="00585FBA" w:rsidRDefault="00176941" w:rsidP="00176941">
      <w:pPr>
        <w:pStyle w:val="ListParagraph"/>
        <w:spacing w:after="200"/>
        <w:ind w:left="0"/>
        <w:jc w:val="both"/>
        <w:rPr>
          <w:b/>
          <w:sz w:val="22"/>
          <w:szCs w:val="28"/>
        </w:rPr>
      </w:pPr>
    </w:p>
    <w:p w:rsidR="00176941" w:rsidRPr="005A14CE" w:rsidRDefault="00176941" w:rsidP="00176941">
      <w:pPr>
        <w:pStyle w:val="ListParagraph"/>
        <w:spacing w:after="200"/>
        <w:ind w:left="0"/>
        <w:jc w:val="both"/>
        <w:rPr>
          <w:b/>
          <w:sz w:val="28"/>
          <w:szCs w:val="28"/>
        </w:rPr>
      </w:pPr>
      <w:r w:rsidRPr="005A14CE">
        <w:rPr>
          <w:b/>
          <w:sz w:val="28"/>
          <w:szCs w:val="28"/>
        </w:rPr>
        <w:t>Item No. 5:  Acquisition of land which are earmarked for roads and other amenities under RPG 2021.</w:t>
      </w:r>
    </w:p>
    <w:p w:rsidR="00176941" w:rsidRPr="005A14CE" w:rsidRDefault="00176941" w:rsidP="00176941">
      <w:pPr>
        <w:pStyle w:val="ListParagraph"/>
        <w:spacing w:after="200"/>
        <w:ind w:hanging="720"/>
        <w:jc w:val="both"/>
        <w:rPr>
          <w:b/>
          <w:sz w:val="18"/>
          <w:szCs w:val="28"/>
        </w:rPr>
      </w:pPr>
    </w:p>
    <w:p w:rsidR="00176941" w:rsidRPr="005A14CE" w:rsidRDefault="00D61387" w:rsidP="00176941">
      <w:pPr>
        <w:pStyle w:val="ListParagraph"/>
        <w:spacing w:after="200" w:line="360" w:lineRule="auto"/>
        <w:ind w:left="90" w:firstLine="630"/>
        <w:jc w:val="both"/>
        <w:rPr>
          <w:sz w:val="28"/>
          <w:szCs w:val="28"/>
        </w:rPr>
      </w:pPr>
      <w:r w:rsidRPr="005A14CE">
        <w:rPr>
          <w:sz w:val="28"/>
          <w:szCs w:val="28"/>
        </w:rPr>
        <w:t>Member Secretary informed that t</w:t>
      </w:r>
      <w:r w:rsidR="00176941" w:rsidRPr="005A14CE">
        <w:rPr>
          <w:sz w:val="28"/>
          <w:szCs w:val="28"/>
        </w:rPr>
        <w:t xml:space="preserve">he Regional Plan for Goa – 2021 </w:t>
      </w:r>
      <w:r w:rsidR="0051155F" w:rsidRPr="005A14CE">
        <w:rPr>
          <w:sz w:val="28"/>
          <w:szCs w:val="28"/>
        </w:rPr>
        <w:t xml:space="preserve">was </w:t>
      </w:r>
      <w:r w:rsidR="00176941" w:rsidRPr="005A14CE">
        <w:rPr>
          <w:sz w:val="28"/>
          <w:szCs w:val="28"/>
        </w:rPr>
        <w:t xml:space="preserve">notified under different stages </w:t>
      </w:r>
      <w:r w:rsidR="0051155F" w:rsidRPr="005A14CE">
        <w:rPr>
          <w:sz w:val="28"/>
          <w:szCs w:val="28"/>
        </w:rPr>
        <w:t xml:space="preserve">and </w:t>
      </w:r>
      <w:r w:rsidR="00176941" w:rsidRPr="005A14CE">
        <w:rPr>
          <w:sz w:val="28"/>
          <w:szCs w:val="28"/>
        </w:rPr>
        <w:t xml:space="preserve">has provision </w:t>
      </w:r>
      <w:r w:rsidR="00AC61B2" w:rsidRPr="005A14CE">
        <w:rPr>
          <w:sz w:val="28"/>
          <w:szCs w:val="28"/>
        </w:rPr>
        <w:t>for</w:t>
      </w:r>
      <w:r w:rsidR="00176941" w:rsidRPr="005A14CE">
        <w:rPr>
          <w:sz w:val="28"/>
          <w:szCs w:val="28"/>
        </w:rPr>
        <w:t xml:space="preserve"> various land uses and so also it clearly defines the road network </w:t>
      </w:r>
      <w:r w:rsidR="0051155F" w:rsidRPr="005A14CE">
        <w:rPr>
          <w:sz w:val="28"/>
          <w:szCs w:val="28"/>
        </w:rPr>
        <w:t>in a proper hierarchical manner which includes</w:t>
      </w:r>
      <w:r w:rsidR="00176941" w:rsidRPr="005A14CE">
        <w:rPr>
          <w:sz w:val="28"/>
          <w:szCs w:val="28"/>
        </w:rPr>
        <w:t xml:space="preserve"> National Highways, State Highways, Major District Roads and various other roads having width of 15.00 mts. 10.00 mts.,  8.00 mts. and 6.00 mts. etc. and </w:t>
      </w:r>
      <w:r w:rsidR="0051155F" w:rsidRPr="005A14CE">
        <w:rPr>
          <w:sz w:val="28"/>
          <w:szCs w:val="28"/>
        </w:rPr>
        <w:t xml:space="preserve">further informed that </w:t>
      </w:r>
      <w:r w:rsidR="00176941" w:rsidRPr="005A14CE">
        <w:rPr>
          <w:sz w:val="28"/>
          <w:szCs w:val="28"/>
        </w:rPr>
        <w:t>these roads under RPG-2021 are either existing or are proposed.</w:t>
      </w:r>
    </w:p>
    <w:p w:rsidR="005D0064" w:rsidRPr="005A14CE" w:rsidRDefault="005D0064" w:rsidP="005D0064">
      <w:pPr>
        <w:pStyle w:val="ListParagraph"/>
        <w:spacing w:after="200"/>
        <w:ind w:left="90" w:firstLine="630"/>
        <w:jc w:val="both"/>
        <w:rPr>
          <w:sz w:val="12"/>
          <w:szCs w:val="28"/>
        </w:rPr>
      </w:pPr>
    </w:p>
    <w:p w:rsidR="00176941" w:rsidRPr="005A14CE" w:rsidRDefault="0051155F" w:rsidP="00176941">
      <w:pPr>
        <w:pStyle w:val="ListParagraph"/>
        <w:spacing w:after="200" w:line="360" w:lineRule="auto"/>
        <w:ind w:left="90" w:firstLine="630"/>
        <w:jc w:val="both"/>
        <w:rPr>
          <w:sz w:val="28"/>
          <w:szCs w:val="28"/>
        </w:rPr>
      </w:pPr>
      <w:r w:rsidRPr="005A14CE">
        <w:rPr>
          <w:sz w:val="28"/>
          <w:szCs w:val="28"/>
        </w:rPr>
        <w:t>The Board took note that  the road are p</w:t>
      </w:r>
      <w:r w:rsidR="00176941" w:rsidRPr="005A14CE">
        <w:rPr>
          <w:sz w:val="28"/>
          <w:szCs w:val="28"/>
        </w:rPr>
        <w:t xml:space="preserve">roposed to provide </w:t>
      </w:r>
      <w:r w:rsidRPr="005A14CE">
        <w:rPr>
          <w:sz w:val="28"/>
          <w:szCs w:val="28"/>
        </w:rPr>
        <w:t xml:space="preserve">better </w:t>
      </w:r>
      <w:r w:rsidR="00176941" w:rsidRPr="005A14CE">
        <w:rPr>
          <w:sz w:val="28"/>
          <w:szCs w:val="28"/>
        </w:rPr>
        <w:t>linkages to other major roads or are proposed to provide</w:t>
      </w:r>
      <w:r w:rsidRPr="005A14CE">
        <w:rPr>
          <w:sz w:val="28"/>
          <w:szCs w:val="28"/>
        </w:rPr>
        <w:t xml:space="preserve"> access to the landlocked areas and the p</w:t>
      </w:r>
      <w:r w:rsidR="00176941" w:rsidRPr="005A14CE">
        <w:rPr>
          <w:sz w:val="28"/>
          <w:szCs w:val="28"/>
        </w:rPr>
        <w:t>rovision of these proposed roads has given a big relief to the properties which have remained landlocked for years together</w:t>
      </w:r>
      <w:r w:rsidRPr="005A14CE">
        <w:rPr>
          <w:sz w:val="28"/>
          <w:szCs w:val="28"/>
        </w:rPr>
        <w:t>. H</w:t>
      </w:r>
      <w:r w:rsidR="00176941" w:rsidRPr="005A14CE">
        <w:rPr>
          <w:sz w:val="28"/>
          <w:szCs w:val="28"/>
        </w:rPr>
        <w:t xml:space="preserve">owever </w:t>
      </w:r>
      <w:r w:rsidRPr="005A14CE">
        <w:rPr>
          <w:sz w:val="28"/>
          <w:szCs w:val="28"/>
        </w:rPr>
        <w:t xml:space="preserve">it was expressed by the members that </w:t>
      </w:r>
      <w:r w:rsidR="00176941" w:rsidRPr="005A14CE">
        <w:rPr>
          <w:sz w:val="28"/>
          <w:szCs w:val="28"/>
        </w:rPr>
        <w:t xml:space="preserve">the purpose is not met till the area reserved for such roads is </w:t>
      </w:r>
      <w:r w:rsidRPr="005A14CE">
        <w:rPr>
          <w:sz w:val="28"/>
          <w:szCs w:val="28"/>
        </w:rPr>
        <w:t xml:space="preserve">actually </w:t>
      </w:r>
      <w:r w:rsidR="00176941" w:rsidRPr="005A14CE">
        <w:rPr>
          <w:sz w:val="28"/>
          <w:szCs w:val="28"/>
        </w:rPr>
        <w:t xml:space="preserve">acquired </w:t>
      </w:r>
      <w:r w:rsidRPr="005A14CE">
        <w:rPr>
          <w:sz w:val="28"/>
          <w:szCs w:val="28"/>
        </w:rPr>
        <w:t xml:space="preserve">for the </w:t>
      </w:r>
      <w:r w:rsidR="00AC61B2" w:rsidRPr="005A14CE">
        <w:rPr>
          <w:sz w:val="28"/>
          <w:szCs w:val="28"/>
        </w:rPr>
        <w:t>intended purpose</w:t>
      </w:r>
      <w:r w:rsidR="00F2501C" w:rsidRPr="005A14CE">
        <w:rPr>
          <w:sz w:val="28"/>
          <w:szCs w:val="28"/>
        </w:rPr>
        <w:t>.</w:t>
      </w:r>
    </w:p>
    <w:p w:rsidR="00176941" w:rsidRPr="005A14CE" w:rsidRDefault="00176941" w:rsidP="005D0064">
      <w:pPr>
        <w:pStyle w:val="ListParagraph"/>
        <w:spacing w:after="200"/>
        <w:ind w:left="90" w:firstLine="630"/>
        <w:jc w:val="both"/>
        <w:rPr>
          <w:sz w:val="8"/>
          <w:szCs w:val="28"/>
        </w:rPr>
      </w:pPr>
    </w:p>
    <w:p w:rsidR="00176941" w:rsidRPr="005A14CE" w:rsidRDefault="00F2501C" w:rsidP="00176941">
      <w:pPr>
        <w:pStyle w:val="ListParagraph"/>
        <w:spacing w:after="200" w:line="360" w:lineRule="auto"/>
        <w:ind w:left="90" w:firstLine="630"/>
        <w:jc w:val="both"/>
        <w:rPr>
          <w:sz w:val="28"/>
          <w:szCs w:val="28"/>
        </w:rPr>
      </w:pPr>
      <w:r w:rsidRPr="005A14CE">
        <w:rPr>
          <w:sz w:val="28"/>
          <w:szCs w:val="28"/>
        </w:rPr>
        <w:t xml:space="preserve">The Board took note that the affected parties have expressed their grievances </w:t>
      </w:r>
      <w:r w:rsidR="00176941" w:rsidRPr="005A14CE">
        <w:rPr>
          <w:sz w:val="28"/>
          <w:szCs w:val="28"/>
        </w:rPr>
        <w:t xml:space="preserve">as the area </w:t>
      </w:r>
      <w:r w:rsidRPr="005A14CE">
        <w:rPr>
          <w:sz w:val="28"/>
          <w:szCs w:val="28"/>
        </w:rPr>
        <w:t>reserved for the</w:t>
      </w:r>
      <w:r w:rsidR="00176941" w:rsidRPr="005A14CE">
        <w:rPr>
          <w:sz w:val="28"/>
          <w:szCs w:val="28"/>
        </w:rPr>
        <w:t xml:space="preserve"> roads </w:t>
      </w:r>
      <w:r w:rsidRPr="005A14CE">
        <w:rPr>
          <w:sz w:val="28"/>
          <w:szCs w:val="28"/>
        </w:rPr>
        <w:t xml:space="preserve">is </w:t>
      </w:r>
      <w:r w:rsidR="00AC61B2" w:rsidRPr="005A14CE">
        <w:rPr>
          <w:sz w:val="28"/>
          <w:szCs w:val="28"/>
        </w:rPr>
        <w:t>lying</w:t>
      </w:r>
      <w:r w:rsidRPr="005A14CE">
        <w:rPr>
          <w:sz w:val="28"/>
          <w:szCs w:val="28"/>
        </w:rPr>
        <w:t xml:space="preserve"> un</w:t>
      </w:r>
      <w:r w:rsidR="00AC61B2" w:rsidRPr="005A14CE">
        <w:rPr>
          <w:sz w:val="28"/>
          <w:szCs w:val="28"/>
        </w:rPr>
        <w:t>-</w:t>
      </w:r>
      <w:r w:rsidRPr="005A14CE">
        <w:rPr>
          <w:sz w:val="28"/>
          <w:szCs w:val="28"/>
        </w:rPr>
        <w:t>a</w:t>
      </w:r>
      <w:r w:rsidR="00AC61B2" w:rsidRPr="005A14CE">
        <w:rPr>
          <w:sz w:val="28"/>
          <w:szCs w:val="28"/>
        </w:rPr>
        <w:t>c</w:t>
      </w:r>
      <w:r w:rsidRPr="005A14CE">
        <w:rPr>
          <w:sz w:val="28"/>
          <w:szCs w:val="28"/>
        </w:rPr>
        <w:t xml:space="preserve">quired by the </w:t>
      </w:r>
      <w:r w:rsidR="00AC61B2" w:rsidRPr="005A14CE">
        <w:rPr>
          <w:sz w:val="28"/>
          <w:szCs w:val="28"/>
        </w:rPr>
        <w:t>G</w:t>
      </w:r>
      <w:r w:rsidRPr="005A14CE">
        <w:rPr>
          <w:sz w:val="28"/>
          <w:szCs w:val="28"/>
        </w:rPr>
        <w:t xml:space="preserve">overnment agencies and as such </w:t>
      </w:r>
      <w:r w:rsidR="00176941" w:rsidRPr="005A14CE">
        <w:rPr>
          <w:sz w:val="28"/>
          <w:szCs w:val="28"/>
        </w:rPr>
        <w:t xml:space="preserve">neither </w:t>
      </w:r>
      <w:r w:rsidRPr="005A14CE">
        <w:rPr>
          <w:sz w:val="28"/>
          <w:szCs w:val="28"/>
        </w:rPr>
        <w:t xml:space="preserve">are they getting any compensation for the area nor are they permitted </w:t>
      </w:r>
      <w:r w:rsidR="00176941" w:rsidRPr="005A14CE">
        <w:rPr>
          <w:sz w:val="28"/>
          <w:szCs w:val="28"/>
        </w:rPr>
        <w:t xml:space="preserve">to undertake any development in the affected </w:t>
      </w:r>
      <w:r w:rsidR="00AC61B2" w:rsidRPr="005A14CE">
        <w:rPr>
          <w:sz w:val="28"/>
          <w:szCs w:val="28"/>
        </w:rPr>
        <w:t>portion of the</w:t>
      </w:r>
      <w:r w:rsidR="00CC41C8" w:rsidRPr="005A14CE">
        <w:rPr>
          <w:sz w:val="28"/>
          <w:szCs w:val="28"/>
        </w:rPr>
        <w:t>ir</w:t>
      </w:r>
      <w:r w:rsidR="00AC61B2" w:rsidRPr="005A14CE">
        <w:rPr>
          <w:sz w:val="28"/>
          <w:szCs w:val="28"/>
        </w:rPr>
        <w:t xml:space="preserve"> properties</w:t>
      </w:r>
      <w:r w:rsidR="00176941" w:rsidRPr="005A14CE">
        <w:rPr>
          <w:sz w:val="28"/>
          <w:szCs w:val="28"/>
        </w:rPr>
        <w:t xml:space="preserve">.  </w:t>
      </w:r>
      <w:r w:rsidRPr="005A14CE">
        <w:rPr>
          <w:sz w:val="28"/>
          <w:szCs w:val="28"/>
        </w:rPr>
        <w:t xml:space="preserve">The Board therefore deliberated on the urgent  need and mechanism for acquisition of area reserved for roads such that the proposals reflected in RPG-2021 are materialised and the access is provided to the landlocked areas.  </w:t>
      </w:r>
    </w:p>
    <w:p w:rsidR="00D61387" w:rsidRPr="005A14CE" w:rsidRDefault="00D61387" w:rsidP="00D61387">
      <w:pPr>
        <w:pStyle w:val="ListParagraph"/>
        <w:spacing w:after="200"/>
        <w:ind w:left="90" w:firstLine="630"/>
        <w:jc w:val="both"/>
        <w:rPr>
          <w:sz w:val="28"/>
          <w:szCs w:val="28"/>
        </w:rPr>
      </w:pPr>
    </w:p>
    <w:p w:rsidR="005D0064" w:rsidRPr="005A14CE" w:rsidRDefault="005D0064" w:rsidP="00D61387">
      <w:pPr>
        <w:pStyle w:val="ListParagraph"/>
        <w:spacing w:after="200"/>
        <w:ind w:left="90" w:firstLine="630"/>
        <w:jc w:val="both"/>
        <w:rPr>
          <w:sz w:val="28"/>
          <w:szCs w:val="28"/>
        </w:rPr>
      </w:pPr>
    </w:p>
    <w:p w:rsidR="00176941" w:rsidRPr="005A14CE" w:rsidRDefault="00F2501C" w:rsidP="00F2501C">
      <w:pPr>
        <w:pStyle w:val="ListParagraph"/>
        <w:spacing w:after="200" w:line="360" w:lineRule="auto"/>
        <w:ind w:left="90" w:firstLine="630"/>
        <w:jc w:val="both"/>
        <w:rPr>
          <w:sz w:val="28"/>
          <w:szCs w:val="28"/>
        </w:rPr>
      </w:pPr>
      <w:r w:rsidRPr="005A14CE">
        <w:rPr>
          <w:sz w:val="28"/>
          <w:szCs w:val="28"/>
        </w:rPr>
        <w:lastRenderedPageBreak/>
        <w:t xml:space="preserve">It was also brought to the notice of the Board that the concerned land owners whose land is affected by proposed road have </w:t>
      </w:r>
      <w:r w:rsidR="00AC61B2" w:rsidRPr="005A14CE">
        <w:rPr>
          <w:sz w:val="28"/>
          <w:szCs w:val="28"/>
        </w:rPr>
        <w:t xml:space="preserve">even </w:t>
      </w:r>
      <w:r w:rsidRPr="005A14CE">
        <w:rPr>
          <w:sz w:val="28"/>
          <w:szCs w:val="28"/>
        </w:rPr>
        <w:t>expressed their willingness</w:t>
      </w:r>
      <w:r w:rsidR="00176941" w:rsidRPr="005A14CE">
        <w:rPr>
          <w:sz w:val="28"/>
          <w:szCs w:val="28"/>
        </w:rPr>
        <w:t xml:space="preserve"> to make the payment to the concerned Authorities, such that the area earmarked for roads is acquired and their properties </w:t>
      </w:r>
      <w:r w:rsidRPr="005A14CE">
        <w:rPr>
          <w:sz w:val="28"/>
          <w:szCs w:val="28"/>
        </w:rPr>
        <w:t xml:space="preserve">are </w:t>
      </w:r>
      <w:r w:rsidR="00176941" w:rsidRPr="005A14CE">
        <w:rPr>
          <w:sz w:val="28"/>
          <w:szCs w:val="28"/>
        </w:rPr>
        <w:t>provid</w:t>
      </w:r>
      <w:r w:rsidRPr="005A14CE">
        <w:rPr>
          <w:sz w:val="28"/>
          <w:szCs w:val="28"/>
        </w:rPr>
        <w:t>ed with proper motorable access and such that they no longer remained landlocked</w:t>
      </w:r>
      <w:r w:rsidR="00AC61B2" w:rsidRPr="005A14CE">
        <w:rPr>
          <w:sz w:val="28"/>
          <w:szCs w:val="28"/>
        </w:rPr>
        <w:t xml:space="preserve"> and</w:t>
      </w:r>
      <w:r w:rsidRPr="005A14CE">
        <w:rPr>
          <w:sz w:val="28"/>
          <w:szCs w:val="28"/>
        </w:rPr>
        <w:t xml:space="preserve"> by virtue of which</w:t>
      </w:r>
      <w:r w:rsidR="00CC41C8" w:rsidRPr="005A14CE">
        <w:rPr>
          <w:sz w:val="28"/>
          <w:szCs w:val="28"/>
        </w:rPr>
        <w:t>,</w:t>
      </w:r>
      <w:r w:rsidRPr="005A14CE">
        <w:rPr>
          <w:sz w:val="28"/>
          <w:szCs w:val="28"/>
        </w:rPr>
        <w:t xml:space="preserve"> they can propose </w:t>
      </w:r>
      <w:r w:rsidR="00AC61B2" w:rsidRPr="005A14CE">
        <w:rPr>
          <w:sz w:val="28"/>
          <w:szCs w:val="28"/>
        </w:rPr>
        <w:t>further</w:t>
      </w:r>
      <w:r w:rsidRPr="005A14CE">
        <w:rPr>
          <w:sz w:val="28"/>
          <w:szCs w:val="28"/>
        </w:rPr>
        <w:t xml:space="preserve"> development of such properties.</w:t>
      </w:r>
    </w:p>
    <w:p w:rsidR="00D61387" w:rsidRPr="005A14CE" w:rsidRDefault="00D61387" w:rsidP="00D61387">
      <w:pPr>
        <w:pStyle w:val="ListParagraph"/>
        <w:spacing w:after="200"/>
        <w:ind w:left="90" w:firstLine="630"/>
        <w:jc w:val="both"/>
        <w:rPr>
          <w:sz w:val="6"/>
          <w:szCs w:val="28"/>
        </w:rPr>
      </w:pPr>
    </w:p>
    <w:p w:rsidR="00AC61B2" w:rsidRPr="005A14CE" w:rsidRDefault="00F2501C" w:rsidP="00176941">
      <w:pPr>
        <w:pStyle w:val="ListParagraph"/>
        <w:spacing w:after="200" w:line="360" w:lineRule="auto"/>
        <w:ind w:left="90" w:firstLine="630"/>
        <w:jc w:val="both"/>
        <w:rPr>
          <w:sz w:val="28"/>
          <w:szCs w:val="28"/>
        </w:rPr>
      </w:pPr>
      <w:r w:rsidRPr="005A14CE">
        <w:rPr>
          <w:sz w:val="28"/>
          <w:szCs w:val="28"/>
        </w:rPr>
        <w:t>The Board therefore decided that the mechanism be worked out</w:t>
      </w:r>
      <w:r w:rsidR="00176941" w:rsidRPr="005A14CE">
        <w:rPr>
          <w:sz w:val="28"/>
          <w:szCs w:val="28"/>
        </w:rPr>
        <w:t xml:space="preserve"> such that the interested parties can deposit the amount required for acquisition of land to the designated authority, which can </w:t>
      </w:r>
      <w:r w:rsidR="00AC61B2" w:rsidRPr="005A14CE">
        <w:rPr>
          <w:sz w:val="28"/>
          <w:szCs w:val="28"/>
        </w:rPr>
        <w:t>later</w:t>
      </w:r>
      <w:r w:rsidR="00176941" w:rsidRPr="005A14CE">
        <w:rPr>
          <w:sz w:val="28"/>
          <w:szCs w:val="28"/>
        </w:rPr>
        <w:t xml:space="preserve"> be deposited with the Land Acquisition Authority/ Revenue Department for the purpose of undertaking further land acquisition procedure/ development work.  </w:t>
      </w:r>
    </w:p>
    <w:p w:rsidR="00AC61B2" w:rsidRPr="005A14CE" w:rsidRDefault="00AC61B2" w:rsidP="00AC61B2">
      <w:pPr>
        <w:pStyle w:val="ListParagraph"/>
        <w:spacing w:after="200"/>
        <w:ind w:left="90" w:firstLine="630"/>
        <w:jc w:val="both"/>
        <w:rPr>
          <w:sz w:val="8"/>
          <w:szCs w:val="28"/>
        </w:rPr>
      </w:pPr>
    </w:p>
    <w:p w:rsidR="00F2501C" w:rsidRPr="005A14CE" w:rsidRDefault="00F2501C" w:rsidP="00176941">
      <w:pPr>
        <w:pStyle w:val="ListParagraph"/>
        <w:spacing w:after="200" w:line="360" w:lineRule="auto"/>
        <w:ind w:left="90" w:firstLine="630"/>
        <w:jc w:val="both"/>
        <w:rPr>
          <w:sz w:val="28"/>
          <w:szCs w:val="28"/>
        </w:rPr>
      </w:pPr>
      <w:r w:rsidRPr="005A14CE">
        <w:rPr>
          <w:sz w:val="28"/>
          <w:szCs w:val="28"/>
        </w:rPr>
        <w:t>Accordingly, Board directed that a scheme/policy be worked out at the TCP Dep</w:t>
      </w:r>
      <w:r w:rsidR="00F65442" w:rsidRPr="005A14CE">
        <w:rPr>
          <w:sz w:val="28"/>
          <w:szCs w:val="28"/>
        </w:rPr>
        <w:t>t. level, in consultation with R</w:t>
      </w:r>
      <w:r w:rsidRPr="005A14CE">
        <w:rPr>
          <w:sz w:val="28"/>
          <w:szCs w:val="28"/>
        </w:rPr>
        <w:t>evenue Department for acquisition of such area earmarked for roads under Regional Plan or any other development plan</w:t>
      </w:r>
      <w:r w:rsidR="00AC61B2" w:rsidRPr="005A14CE">
        <w:rPr>
          <w:sz w:val="28"/>
          <w:szCs w:val="28"/>
        </w:rPr>
        <w:t>s</w:t>
      </w:r>
      <w:r w:rsidRPr="005A14CE">
        <w:rPr>
          <w:sz w:val="28"/>
          <w:szCs w:val="28"/>
        </w:rPr>
        <w:t xml:space="preserve"> such as ODP, Zoning Plan, etc.</w:t>
      </w:r>
    </w:p>
    <w:p w:rsidR="00D61387" w:rsidRPr="005A14CE" w:rsidRDefault="00D61387" w:rsidP="00D61387">
      <w:pPr>
        <w:pStyle w:val="ListParagraph"/>
        <w:spacing w:after="200"/>
        <w:ind w:left="90" w:firstLine="630"/>
        <w:jc w:val="both"/>
        <w:rPr>
          <w:sz w:val="10"/>
          <w:szCs w:val="28"/>
        </w:rPr>
      </w:pPr>
    </w:p>
    <w:p w:rsidR="00F2501C" w:rsidRPr="005A14CE" w:rsidRDefault="00F2501C" w:rsidP="00176941">
      <w:pPr>
        <w:pStyle w:val="ListParagraph"/>
        <w:spacing w:after="200" w:line="360" w:lineRule="auto"/>
        <w:ind w:left="90" w:firstLine="630"/>
        <w:jc w:val="both"/>
        <w:rPr>
          <w:sz w:val="28"/>
          <w:szCs w:val="28"/>
        </w:rPr>
      </w:pPr>
      <w:r w:rsidRPr="005A14CE">
        <w:rPr>
          <w:sz w:val="28"/>
          <w:szCs w:val="28"/>
        </w:rPr>
        <w:t>CTP</w:t>
      </w:r>
      <w:r w:rsidR="00D61387" w:rsidRPr="005A14CE">
        <w:rPr>
          <w:sz w:val="28"/>
          <w:szCs w:val="28"/>
        </w:rPr>
        <w:t xml:space="preserve"> </w:t>
      </w:r>
      <w:r w:rsidRPr="005A14CE">
        <w:rPr>
          <w:sz w:val="28"/>
          <w:szCs w:val="28"/>
        </w:rPr>
        <w:t>(Admn.) is accordingly directed to undertake further procedure in this regard.</w:t>
      </w:r>
    </w:p>
    <w:p w:rsidR="00987BF6" w:rsidRPr="005A14CE" w:rsidRDefault="00987BF6">
      <w:pPr>
        <w:spacing w:after="200" w:line="276" w:lineRule="auto"/>
        <w:rPr>
          <w:rFonts w:ascii="Times New Roman" w:hAnsi="Times New Roman" w:cs="Times New Roman"/>
          <w:b/>
          <w:sz w:val="28"/>
          <w:szCs w:val="28"/>
        </w:rPr>
      </w:pPr>
    </w:p>
    <w:p w:rsidR="00176941" w:rsidRPr="005A14CE" w:rsidRDefault="00176941" w:rsidP="00176941">
      <w:pPr>
        <w:spacing w:after="200" w:line="240" w:lineRule="auto"/>
        <w:jc w:val="both"/>
        <w:rPr>
          <w:rFonts w:ascii="Times New Roman" w:hAnsi="Times New Roman" w:cs="Times New Roman"/>
          <w:b/>
          <w:sz w:val="28"/>
          <w:szCs w:val="28"/>
        </w:rPr>
      </w:pPr>
      <w:r w:rsidRPr="005A14CE">
        <w:rPr>
          <w:rFonts w:ascii="Times New Roman" w:hAnsi="Times New Roman" w:cs="Times New Roman"/>
          <w:b/>
          <w:sz w:val="28"/>
          <w:szCs w:val="28"/>
        </w:rPr>
        <w:t>Item No. 6:  Regarding preparation of Taleigao Outline Development Plan.</w:t>
      </w:r>
    </w:p>
    <w:p w:rsidR="00176941" w:rsidRPr="005A14CE" w:rsidRDefault="00D1566C"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Member Secretary informed that ODP for </w:t>
      </w:r>
      <w:r w:rsidR="00176941" w:rsidRPr="005A14CE">
        <w:rPr>
          <w:rFonts w:ascii="Times New Roman" w:hAnsi="Times New Roman" w:cs="Times New Roman"/>
          <w:sz w:val="28"/>
          <w:szCs w:val="28"/>
        </w:rPr>
        <w:t xml:space="preserve">Taleigao Planning Area </w:t>
      </w:r>
      <w:r w:rsidRPr="005A14CE">
        <w:rPr>
          <w:rFonts w:ascii="Times New Roman" w:hAnsi="Times New Roman" w:cs="Times New Roman"/>
          <w:sz w:val="28"/>
          <w:szCs w:val="28"/>
        </w:rPr>
        <w:t xml:space="preserve">was finally notified </w:t>
      </w:r>
      <w:r w:rsidR="00EC237A" w:rsidRPr="005A14CE">
        <w:rPr>
          <w:rFonts w:ascii="Times New Roman" w:hAnsi="Times New Roman" w:cs="Times New Roman"/>
          <w:sz w:val="28"/>
          <w:szCs w:val="28"/>
        </w:rPr>
        <w:t xml:space="preserve">vide </w:t>
      </w:r>
      <w:r w:rsidRPr="005A14CE">
        <w:rPr>
          <w:rFonts w:ascii="Times New Roman" w:hAnsi="Times New Roman" w:cs="Times New Roman"/>
          <w:sz w:val="28"/>
          <w:szCs w:val="28"/>
        </w:rPr>
        <w:t xml:space="preserve">Notification </w:t>
      </w:r>
      <w:r w:rsidR="00514924" w:rsidRPr="005A14CE">
        <w:rPr>
          <w:rFonts w:ascii="Times New Roman" w:hAnsi="Times New Roman" w:cs="Times New Roman"/>
          <w:sz w:val="28"/>
          <w:szCs w:val="28"/>
        </w:rPr>
        <w:t xml:space="preserve">No. GPPDA/ODP of TPA/1802/2019 </w:t>
      </w:r>
      <w:r w:rsidRPr="005A14CE">
        <w:rPr>
          <w:rFonts w:ascii="Times New Roman" w:hAnsi="Times New Roman" w:cs="Times New Roman"/>
          <w:sz w:val="28"/>
          <w:szCs w:val="28"/>
        </w:rPr>
        <w:t>dtd</w:t>
      </w:r>
      <w:r w:rsidR="00EC237A" w:rsidRPr="005A14CE">
        <w:rPr>
          <w:rFonts w:ascii="Times New Roman" w:hAnsi="Times New Roman" w:cs="Times New Roman"/>
          <w:sz w:val="28"/>
          <w:szCs w:val="28"/>
        </w:rPr>
        <w:t xml:space="preserve">. </w:t>
      </w:r>
      <w:r w:rsidR="00514924" w:rsidRPr="005A14CE">
        <w:rPr>
          <w:rFonts w:ascii="Times New Roman" w:hAnsi="Times New Roman" w:cs="Times New Roman"/>
          <w:sz w:val="28"/>
          <w:szCs w:val="28"/>
        </w:rPr>
        <w:t>18/2/2019</w:t>
      </w:r>
      <w:r w:rsidR="00987BF6" w:rsidRPr="005A14CE">
        <w:rPr>
          <w:rFonts w:ascii="Times New Roman" w:hAnsi="Times New Roman" w:cs="Times New Roman"/>
          <w:sz w:val="28"/>
          <w:szCs w:val="28"/>
        </w:rPr>
        <w:t xml:space="preserve"> and</w:t>
      </w:r>
      <w:r w:rsidR="00514924" w:rsidRPr="005A14CE">
        <w:rPr>
          <w:rFonts w:ascii="Times New Roman" w:hAnsi="Times New Roman" w:cs="Times New Roman"/>
          <w:sz w:val="28"/>
          <w:szCs w:val="28"/>
        </w:rPr>
        <w:t xml:space="preserve"> published in Official Gazette (Supplement) Series III, No. 46 dtd. 18/2/2019</w:t>
      </w:r>
      <w:r w:rsidR="00EC237A" w:rsidRPr="005A14CE">
        <w:rPr>
          <w:rFonts w:ascii="Times New Roman" w:hAnsi="Times New Roman" w:cs="Times New Roman"/>
          <w:sz w:val="28"/>
          <w:szCs w:val="28"/>
        </w:rPr>
        <w:t>.</w:t>
      </w:r>
      <w:r w:rsidRPr="005A14CE">
        <w:rPr>
          <w:rFonts w:ascii="Times New Roman" w:hAnsi="Times New Roman" w:cs="Times New Roman"/>
          <w:sz w:val="28"/>
          <w:szCs w:val="28"/>
        </w:rPr>
        <w:t xml:space="preserve">  </w:t>
      </w:r>
      <w:r w:rsidR="00A41E96" w:rsidRPr="005A14CE">
        <w:rPr>
          <w:rFonts w:ascii="Times New Roman" w:hAnsi="Times New Roman" w:cs="Times New Roman"/>
          <w:sz w:val="28"/>
          <w:szCs w:val="28"/>
        </w:rPr>
        <w:t>It was further informed</w:t>
      </w:r>
      <w:r w:rsidR="00176941" w:rsidRPr="005A14CE">
        <w:rPr>
          <w:rFonts w:ascii="Times New Roman" w:hAnsi="Times New Roman" w:cs="Times New Roman"/>
          <w:sz w:val="28"/>
          <w:szCs w:val="28"/>
        </w:rPr>
        <w:t xml:space="preserve"> any development coming under this </w:t>
      </w:r>
      <w:r w:rsidR="00075B5B" w:rsidRPr="005A14CE">
        <w:rPr>
          <w:rFonts w:ascii="Times New Roman" w:hAnsi="Times New Roman" w:cs="Times New Roman"/>
          <w:sz w:val="28"/>
          <w:szCs w:val="28"/>
        </w:rPr>
        <w:t xml:space="preserve">Planning Area </w:t>
      </w:r>
      <w:r w:rsidR="00176941" w:rsidRPr="005A14CE">
        <w:rPr>
          <w:rFonts w:ascii="Times New Roman" w:hAnsi="Times New Roman" w:cs="Times New Roman"/>
          <w:sz w:val="28"/>
          <w:szCs w:val="28"/>
        </w:rPr>
        <w:t xml:space="preserve">is regulated by GPPDA under the provisions of ODP notified. </w:t>
      </w:r>
    </w:p>
    <w:p w:rsidR="008962DB" w:rsidRPr="005A14CE" w:rsidRDefault="008962DB"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took note of the rapid</w:t>
      </w:r>
      <w:r w:rsidR="00176941" w:rsidRPr="005A14CE">
        <w:rPr>
          <w:rFonts w:ascii="Times New Roman" w:hAnsi="Times New Roman" w:cs="Times New Roman"/>
          <w:sz w:val="28"/>
          <w:szCs w:val="28"/>
        </w:rPr>
        <w:t xml:space="preserve"> pace of development </w:t>
      </w:r>
      <w:r w:rsidRPr="005A14CE">
        <w:rPr>
          <w:rFonts w:ascii="Times New Roman" w:hAnsi="Times New Roman" w:cs="Times New Roman"/>
          <w:sz w:val="28"/>
          <w:szCs w:val="28"/>
        </w:rPr>
        <w:t xml:space="preserve">coming under Taleigao Planning Area and felt  the </w:t>
      </w:r>
      <w:r w:rsidR="00176941" w:rsidRPr="005A14CE">
        <w:rPr>
          <w:rFonts w:ascii="Times New Roman" w:hAnsi="Times New Roman" w:cs="Times New Roman"/>
          <w:sz w:val="28"/>
          <w:szCs w:val="28"/>
        </w:rPr>
        <w:t xml:space="preserve"> need to revise Taleigao ODP </w:t>
      </w:r>
      <w:r w:rsidRPr="005A14CE">
        <w:rPr>
          <w:rFonts w:ascii="Times New Roman" w:hAnsi="Times New Roman" w:cs="Times New Roman"/>
          <w:sz w:val="28"/>
          <w:szCs w:val="28"/>
        </w:rPr>
        <w:t>for its better planning</w:t>
      </w:r>
      <w:r w:rsidR="00176941" w:rsidRPr="005A14CE">
        <w:rPr>
          <w:rFonts w:ascii="Times New Roman" w:hAnsi="Times New Roman" w:cs="Times New Roman"/>
          <w:sz w:val="28"/>
          <w:szCs w:val="28"/>
        </w:rPr>
        <w:t xml:space="preserve"> </w:t>
      </w:r>
      <w:r w:rsidRPr="005A14CE">
        <w:rPr>
          <w:rFonts w:ascii="Times New Roman" w:hAnsi="Times New Roman" w:cs="Times New Roman"/>
          <w:sz w:val="28"/>
          <w:szCs w:val="28"/>
        </w:rPr>
        <w:t xml:space="preserve">by considering the influence of surrounding villages on this </w:t>
      </w:r>
      <w:r w:rsidR="00A41E96" w:rsidRPr="005A14CE">
        <w:rPr>
          <w:rFonts w:ascii="Times New Roman" w:hAnsi="Times New Roman" w:cs="Times New Roman"/>
          <w:sz w:val="28"/>
          <w:szCs w:val="28"/>
        </w:rPr>
        <w:t>Planning Area</w:t>
      </w:r>
      <w:r w:rsidRPr="005A14CE">
        <w:rPr>
          <w:rFonts w:ascii="Times New Roman" w:hAnsi="Times New Roman" w:cs="Times New Roman"/>
          <w:sz w:val="28"/>
          <w:szCs w:val="28"/>
        </w:rPr>
        <w:t>.  Accordingly</w:t>
      </w:r>
      <w:r w:rsidR="00A41E96" w:rsidRPr="005A14CE">
        <w:rPr>
          <w:rFonts w:ascii="Times New Roman" w:hAnsi="Times New Roman" w:cs="Times New Roman"/>
          <w:sz w:val="28"/>
          <w:szCs w:val="28"/>
        </w:rPr>
        <w:t>,</w:t>
      </w:r>
      <w:r w:rsidRPr="005A14CE">
        <w:rPr>
          <w:rFonts w:ascii="Times New Roman" w:hAnsi="Times New Roman" w:cs="Times New Roman"/>
          <w:sz w:val="28"/>
          <w:szCs w:val="28"/>
        </w:rPr>
        <w:t xml:space="preserve"> it was recommended that the ODP for Taleig</w:t>
      </w:r>
      <w:r w:rsidR="00176941" w:rsidRPr="005A14CE">
        <w:rPr>
          <w:rFonts w:ascii="Times New Roman" w:hAnsi="Times New Roman" w:cs="Times New Roman"/>
          <w:sz w:val="28"/>
          <w:szCs w:val="28"/>
        </w:rPr>
        <w:t>a</w:t>
      </w:r>
      <w:r w:rsidRPr="005A14CE">
        <w:rPr>
          <w:rFonts w:ascii="Times New Roman" w:hAnsi="Times New Roman" w:cs="Times New Roman"/>
          <w:sz w:val="28"/>
          <w:szCs w:val="28"/>
        </w:rPr>
        <w:t xml:space="preserve">o Planning Area be revised and </w:t>
      </w:r>
      <w:r w:rsidR="00F65442" w:rsidRPr="005A14CE">
        <w:rPr>
          <w:rFonts w:ascii="Times New Roman" w:hAnsi="Times New Roman" w:cs="Times New Roman"/>
          <w:sz w:val="28"/>
          <w:szCs w:val="28"/>
        </w:rPr>
        <w:t xml:space="preserve">recommended </w:t>
      </w:r>
      <w:r w:rsidRPr="005A14CE">
        <w:rPr>
          <w:rFonts w:ascii="Times New Roman" w:hAnsi="Times New Roman" w:cs="Times New Roman"/>
          <w:sz w:val="28"/>
          <w:szCs w:val="28"/>
        </w:rPr>
        <w:t>that the Government may give directions in this regard to GPPDA to undertake the procedure of preparation of fresh ODP for Taleigao Planning Area.</w:t>
      </w:r>
    </w:p>
    <w:p w:rsidR="00176941" w:rsidRPr="005A14CE" w:rsidRDefault="00176941" w:rsidP="00176941">
      <w:pPr>
        <w:spacing w:after="200" w:line="240" w:lineRule="auto"/>
        <w:jc w:val="both"/>
        <w:rPr>
          <w:rFonts w:ascii="Times New Roman" w:hAnsi="Times New Roman" w:cs="Times New Roman"/>
          <w:b/>
          <w:sz w:val="28"/>
          <w:szCs w:val="28"/>
        </w:rPr>
      </w:pPr>
      <w:r w:rsidRPr="005A14CE">
        <w:rPr>
          <w:rFonts w:ascii="Times New Roman" w:hAnsi="Times New Roman" w:cs="Times New Roman"/>
          <w:b/>
          <w:sz w:val="28"/>
          <w:szCs w:val="28"/>
        </w:rPr>
        <w:lastRenderedPageBreak/>
        <w:t xml:space="preserve">Item No. 7:  Regarding preparation of Panaji Outline Development Plan.  </w:t>
      </w:r>
    </w:p>
    <w:p w:rsidR="001937AE" w:rsidRDefault="008962DB" w:rsidP="00176941">
      <w:pPr>
        <w:pStyle w:val="ListParagraph"/>
        <w:spacing w:after="200" w:line="360" w:lineRule="auto"/>
        <w:ind w:left="0" w:firstLine="720"/>
        <w:jc w:val="both"/>
        <w:rPr>
          <w:sz w:val="28"/>
          <w:szCs w:val="28"/>
        </w:rPr>
      </w:pPr>
      <w:r w:rsidRPr="005A14CE">
        <w:rPr>
          <w:sz w:val="28"/>
          <w:szCs w:val="28"/>
        </w:rPr>
        <w:t xml:space="preserve">Member Secretary informed that </w:t>
      </w:r>
      <w:r w:rsidR="001713FF" w:rsidRPr="005A14CE">
        <w:rPr>
          <w:sz w:val="28"/>
          <w:szCs w:val="28"/>
        </w:rPr>
        <w:t xml:space="preserve">vide </w:t>
      </w:r>
      <w:r w:rsidR="001937AE">
        <w:rPr>
          <w:sz w:val="28"/>
          <w:szCs w:val="28"/>
        </w:rPr>
        <w:t>Order</w:t>
      </w:r>
      <w:r w:rsidR="001713FF" w:rsidRPr="005A14CE">
        <w:rPr>
          <w:sz w:val="28"/>
          <w:szCs w:val="28"/>
        </w:rPr>
        <w:t xml:space="preserve"> No. </w:t>
      </w:r>
      <w:r w:rsidR="001937AE">
        <w:rPr>
          <w:sz w:val="28"/>
          <w:szCs w:val="28"/>
        </w:rPr>
        <w:t>36/1/TCP/323/2018/2630</w:t>
      </w:r>
      <w:r w:rsidR="001713FF" w:rsidRPr="005A14CE">
        <w:rPr>
          <w:sz w:val="28"/>
          <w:szCs w:val="28"/>
        </w:rPr>
        <w:t xml:space="preserve"> dtd</w:t>
      </w:r>
      <w:r w:rsidR="001937AE">
        <w:rPr>
          <w:sz w:val="28"/>
          <w:szCs w:val="28"/>
        </w:rPr>
        <w:t>. 28/12/2018</w:t>
      </w:r>
      <w:r w:rsidR="00585FBA">
        <w:rPr>
          <w:sz w:val="28"/>
          <w:szCs w:val="28"/>
        </w:rPr>
        <w:t>,</w:t>
      </w:r>
      <w:r w:rsidR="00C55002" w:rsidRPr="005A14CE">
        <w:rPr>
          <w:sz w:val="28"/>
          <w:szCs w:val="28"/>
        </w:rPr>
        <w:t xml:space="preserve"> </w:t>
      </w:r>
      <w:r w:rsidR="001937AE">
        <w:rPr>
          <w:sz w:val="28"/>
          <w:szCs w:val="28"/>
        </w:rPr>
        <w:t xml:space="preserve">the directions of the Government u/s 39 of the Town &amp; Country Planning Act, 1974 </w:t>
      </w:r>
      <w:r w:rsidR="00585FBA">
        <w:rPr>
          <w:sz w:val="28"/>
          <w:szCs w:val="28"/>
        </w:rPr>
        <w:t>were</w:t>
      </w:r>
      <w:r w:rsidR="001937AE">
        <w:rPr>
          <w:sz w:val="28"/>
          <w:szCs w:val="28"/>
        </w:rPr>
        <w:t xml:space="preserve"> issued to North Goa PDA to take up the process afresh of revising the ODP for  Panaji Planning Area by following the procedure envisaged u/s 29, 30 and 34 to 37 of the TCP Act, 1974.</w:t>
      </w:r>
    </w:p>
    <w:p w:rsidR="001937AE" w:rsidRDefault="00585FBA" w:rsidP="00176941">
      <w:pPr>
        <w:pStyle w:val="ListParagraph"/>
        <w:spacing w:after="200" w:line="360" w:lineRule="auto"/>
        <w:ind w:left="0" w:firstLine="720"/>
        <w:jc w:val="both"/>
        <w:rPr>
          <w:sz w:val="28"/>
          <w:szCs w:val="28"/>
        </w:rPr>
      </w:pPr>
      <w:r>
        <w:rPr>
          <w:sz w:val="28"/>
          <w:szCs w:val="28"/>
        </w:rPr>
        <w:t xml:space="preserve">Vide same Order, North Goa PDA </w:t>
      </w:r>
      <w:r w:rsidR="001937AE">
        <w:rPr>
          <w:sz w:val="28"/>
          <w:szCs w:val="28"/>
        </w:rPr>
        <w:t xml:space="preserve">was also directed to take the preparation of  land use map and land use register indicating present use of land under Panaji Planning Area u/s 26 and 27 of TCP Act, 1974.  The said Order was issued with the approval of the Government vide </w:t>
      </w:r>
      <w:r>
        <w:rPr>
          <w:sz w:val="28"/>
          <w:szCs w:val="28"/>
        </w:rPr>
        <w:t>N</w:t>
      </w:r>
      <w:r w:rsidR="001937AE">
        <w:rPr>
          <w:sz w:val="28"/>
          <w:szCs w:val="28"/>
        </w:rPr>
        <w:t>ote No. 36/1/TCP/323/2018/2500 dtd. 12/12/2018.</w:t>
      </w:r>
    </w:p>
    <w:p w:rsidR="00176941" w:rsidRPr="005A14CE" w:rsidRDefault="00585FBA" w:rsidP="00176941">
      <w:pPr>
        <w:pStyle w:val="ListParagraph"/>
        <w:spacing w:after="200" w:line="360" w:lineRule="auto"/>
        <w:ind w:left="0" w:firstLine="720"/>
        <w:jc w:val="both"/>
        <w:rPr>
          <w:sz w:val="28"/>
          <w:szCs w:val="28"/>
        </w:rPr>
      </w:pPr>
      <w:r>
        <w:rPr>
          <w:sz w:val="28"/>
          <w:szCs w:val="28"/>
        </w:rPr>
        <w:t xml:space="preserve">The Board was further informed that the Government then constituted </w:t>
      </w:r>
      <w:r w:rsidR="00D0492B">
        <w:rPr>
          <w:sz w:val="28"/>
          <w:szCs w:val="28"/>
        </w:rPr>
        <w:t xml:space="preserve"> </w:t>
      </w:r>
      <w:r>
        <w:rPr>
          <w:sz w:val="28"/>
          <w:szCs w:val="28"/>
        </w:rPr>
        <w:t xml:space="preserve">Greater Panaji Planning and Development Authority having its jurisdiction over </w:t>
      </w:r>
      <w:r w:rsidR="00D0492B">
        <w:rPr>
          <w:sz w:val="28"/>
          <w:szCs w:val="28"/>
        </w:rPr>
        <w:t>Panaji Planning Area</w:t>
      </w:r>
      <w:r w:rsidR="005152F9">
        <w:rPr>
          <w:sz w:val="28"/>
          <w:szCs w:val="28"/>
        </w:rPr>
        <w:t>,</w:t>
      </w:r>
      <w:r w:rsidR="00D0492B">
        <w:rPr>
          <w:sz w:val="28"/>
          <w:szCs w:val="28"/>
        </w:rPr>
        <w:t xml:space="preserve">  Taleigao Planning Area</w:t>
      </w:r>
      <w:r w:rsidR="005152F9">
        <w:rPr>
          <w:sz w:val="28"/>
          <w:szCs w:val="28"/>
        </w:rPr>
        <w:t>,</w:t>
      </w:r>
      <w:r w:rsidR="00D0492B">
        <w:rPr>
          <w:sz w:val="28"/>
          <w:szCs w:val="28"/>
        </w:rPr>
        <w:t xml:space="preserve"> Bambolim Planning Area and K</w:t>
      </w:r>
      <w:r w:rsidR="005152F9">
        <w:rPr>
          <w:sz w:val="28"/>
          <w:szCs w:val="28"/>
        </w:rPr>
        <w:t>a</w:t>
      </w:r>
      <w:r w:rsidR="00D0492B">
        <w:rPr>
          <w:sz w:val="28"/>
          <w:szCs w:val="28"/>
        </w:rPr>
        <w:t>damba Planning Area</w:t>
      </w:r>
      <w:r>
        <w:rPr>
          <w:sz w:val="28"/>
          <w:szCs w:val="28"/>
        </w:rPr>
        <w:t xml:space="preserve"> and accordingly, t</w:t>
      </w:r>
      <w:r w:rsidR="00D0492B">
        <w:rPr>
          <w:sz w:val="28"/>
          <w:szCs w:val="28"/>
        </w:rPr>
        <w:t xml:space="preserve">he Greater Panaji Planning and Development Authority </w:t>
      </w:r>
      <w:r>
        <w:rPr>
          <w:sz w:val="28"/>
          <w:szCs w:val="28"/>
        </w:rPr>
        <w:t xml:space="preserve">has </w:t>
      </w:r>
      <w:r w:rsidR="00D0492B">
        <w:rPr>
          <w:sz w:val="28"/>
          <w:szCs w:val="28"/>
        </w:rPr>
        <w:t xml:space="preserve">prepared the present land use map and register of Panaji Planning Area and </w:t>
      </w:r>
      <w:r>
        <w:rPr>
          <w:sz w:val="28"/>
          <w:szCs w:val="28"/>
        </w:rPr>
        <w:t>has also</w:t>
      </w:r>
      <w:r w:rsidR="00D0492B">
        <w:rPr>
          <w:sz w:val="28"/>
          <w:szCs w:val="28"/>
        </w:rPr>
        <w:t xml:space="preserve"> prepared draft ODP -2031 of Panaji Planning Area.</w:t>
      </w:r>
      <w:r w:rsidR="000E4B47">
        <w:rPr>
          <w:sz w:val="28"/>
          <w:szCs w:val="28"/>
        </w:rPr>
        <w:t xml:space="preserve">  It was also informed that the </w:t>
      </w:r>
      <w:r w:rsidR="00176941" w:rsidRPr="005A14CE">
        <w:rPr>
          <w:sz w:val="28"/>
          <w:szCs w:val="28"/>
        </w:rPr>
        <w:t>Government</w:t>
      </w:r>
      <w:r w:rsidR="008962DB" w:rsidRPr="005A14CE">
        <w:rPr>
          <w:sz w:val="28"/>
          <w:szCs w:val="28"/>
        </w:rPr>
        <w:t xml:space="preserve"> </w:t>
      </w:r>
      <w:r w:rsidR="00176941" w:rsidRPr="005A14CE">
        <w:rPr>
          <w:sz w:val="28"/>
          <w:szCs w:val="28"/>
        </w:rPr>
        <w:t>vide Order No. 47/5/TCP/2022-23/1026 dtd. 27/4/2022 has kept on hold the said draft ODP of Panaji.</w:t>
      </w:r>
      <w:r w:rsidR="00C55002" w:rsidRPr="005A14CE">
        <w:rPr>
          <w:sz w:val="28"/>
          <w:szCs w:val="28"/>
        </w:rPr>
        <w:t xml:space="preserve"> </w:t>
      </w:r>
    </w:p>
    <w:p w:rsidR="00176941" w:rsidRPr="005A14CE" w:rsidRDefault="00176941" w:rsidP="00075B5B">
      <w:pPr>
        <w:pStyle w:val="ListParagraph"/>
        <w:spacing w:after="200"/>
        <w:ind w:left="0"/>
        <w:jc w:val="both"/>
        <w:rPr>
          <w:sz w:val="12"/>
          <w:szCs w:val="28"/>
        </w:rPr>
      </w:pPr>
    </w:p>
    <w:p w:rsidR="008962DB" w:rsidRPr="005A14CE" w:rsidRDefault="00176941" w:rsidP="00176941">
      <w:pPr>
        <w:pStyle w:val="ListParagraph"/>
        <w:spacing w:after="200" w:line="360" w:lineRule="auto"/>
        <w:ind w:left="0" w:firstLine="720"/>
        <w:jc w:val="both"/>
        <w:rPr>
          <w:sz w:val="28"/>
          <w:szCs w:val="28"/>
        </w:rPr>
      </w:pPr>
      <w:r w:rsidRPr="005A14CE">
        <w:rPr>
          <w:sz w:val="28"/>
          <w:szCs w:val="28"/>
        </w:rPr>
        <w:t>The Board</w:t>
      </w:r>
      <w:r w:rsidR="008962DB" w:rsidRPr="005A14CE">
        <w:rPr>
          <w:sz w:val="28"/>
          <w:szCs w:val="28"/>
        </w:rPr>
        <w:t xml:space="preserve"> was</w:t>
      </w:r>
      <w:r w:rsidR="000E4B47">
        <w:rPr>
          <w:sz w:val="28"/>
          <w:szCs w:val="28"/>
        </w:rPr>
        <w:t xml:space="preserve"> then</w:t>
      </w:r>
      <w:r w:rsidR="008962DB" w:rsidRPr="005A14CE">
        <w:rPr>
          <w:sz w:val="28"/>
          <w:szCs w:val="28"/>
        </w:rPr>
        <w:t xml:space="preserve"> informed that </w:t>
      </w:r>
      <w:r w:rsidRPr="005A14CE">
        <w:rPr>
          <w:sz w:val="28"/>
          <w:szCs w:val="28"/>
        </w:rPr>
        <w:t>in its 182</w:t>
      </w:r>
      <w:r w:rsidRPr="005A14CE">
        <w:rPr>
          <w:sz w:val="28"/>
          <w:szCs w:val="28"/>
          <w:vertAlign w:val="superscript"/>
        </w:rPr>
        <w:t>nd</w:t>
      </w:r>
      <w:r w:rsidRPr="005A14CE">
        <w:rPr>
          <w:sz w:val="28"/>
          <w:szCs w:val="28"/>
        </w:rPr>
        <w:t xml:space="preserve"> meeting held on 01/8/2022</w:t>
      </w:r>
      <w:r w:rsidR="00F65442" w:rsidRPr="005A14CE">
        <w:rPr>
          <w:sz w:val="28"/>
          <w:szCs w:val="28"/>
        </w:rPr>
        <w:t>,</w:t>
      </w:r>
      <w:r w:rsidRPr="005A14CE">
        <w:rPr>
          <w:sz w:val="28"/>
          <w:szCs w:val="28"/>
        </w:rPr>
        <w:t xml:space="preserve"> </w:t>
      </w:r>
      <w:r w:rsidR="00057332" w:rsidRPr="005A14CE">
        <w:rPr>
          <w:sz w:val="28"/>
          <w:szCs w:val="28"/>
        </w:rPr>
        <w:t xml:space="preserve">it </w:t>
      </w:r>
      <w:r w:rsidRPr="005A14CE">
        <w:rPr>
          <w:sz w:val="28"/>
          <w:szCs w:val="28"/>
        </w:rPr>
        <w:t>ha</w:t>
      </w:r>
      <w:r w:rsidR="008962DB" w:rsidRPr="005A14CE">
        <w:rPr>
          <w:sz w:val="28"/>
          <w:szCs w:val="28"/>
        </w:rPr>
        <w:t>d</w:t>
      </w:r>
      <w:r w:rsidRPr="005A14CE">
        <w:rPr>
          <w:sz w:val="28"/>
          <w:szCs w:val="28"/>
        </w:rPr>
        <w:t xml:space="preserve"> recommended that the jurisdiction of Panaji Planning Area </w:t>
      </w:r>
      <w:r w:rsidR="00F65442" w:rsidRPr="005A14CE">
        <w:rPr>
          <w:sz w:val="28"/>
          <w:szCs w:val="28"/>
        </w:rPr>
        <w:t>be</w:t>
      </w:r>
      <w:r w:rsidRPr="005A14CE">
        <w:rPr>
          <w:sz w:val="28"/>
          <w:szCs w:val="28"/>
        </w:rPr>
        <w:t xml:space="preserve"> brought under North Goa PDA. </w:t>
      </w:r>
    </w:p>
    <w:p w:rsidR="00D61387" w:rsidRPr="005A14CE" w:rsidRDefault="00D61387" w:rsidP="00D61387">
      <w:pPr>
        <w:pStyle w:val="ListParagraph"/>
        <w:spacing w:after="200"/>
        <w:ind w:left="0" w:firstLine="720"/>
        <w:jc w:val="both"/>
        <w:rPr>
          <w:sz w:val="6"/>
          <w:szCs w:val="28"/>
        </w:rPr>
      </w:pPr>
    </w:p>
    <w:p w:rsidR="008962DB" w:rsidRDefault="008962DB" w:rsidP="00176941">
      <w:pPr>
        <w:pStyle w:val="ListParagraph"/>
        <w:spacing w:after="200" w:line="360" w:lineRule="auto"/>
        <w:ind w:left="0" w:firstLine="720"/>
        <w:jc w:val="both"/>
        <w:rPr>
          <w:sz w:val="28"/>
          <w:szCs w:val="28"/>
        </w:rPr>
      </w:pPr>
      <w:r w:rsidRPr="005A14CE">
        <w:rPr>
          <w:sz w:val="28"/>
          <w:szCs w:val="28"/>
        </w:rPr>
        <w:t>Considering th</w:t>
      </w:r>
      <w:r w:rsidR="00F65442" w:rsidRPr="005A14CE">
        <w:rPr>
          <w:sz w:val="28"/>
          <w:szCs w:val="28"/>
        </w:rPr>
        <w:t>is</w:t>
      </w:r>
      <w:r w:rsidRPr="005A14CE">
        <w:rPr>
          <w:sz w:val="28"/>
          <w:szCs w:val="28"/>
        </w:rPr>
        <w:t xml:space="preserve"> </w:t>
      </w:r>
      <w:r w:rsidR="00176941" w:rsidRPr="005A14CE">
        <w:rPr>
          <w:sz w:val="28"/>
          <w:szCs w:val="28"/>
        </w:rPr>
        <w:t xml:space="preserve">decision </w:t>
      </w:r>
      <w:r w:rsidRPr="005A14CE">
        <w:rPr>
          <w:sz w:val="28"/>
          <w:szCs w:val="28"/>
        </w:rPr>
        <w:t>of the Board, it w</w:t>
      </w:r>
      <w:r w:rsidR="00075B5B" w:rsidRPr="005A14CE">
        <w:rPr>
          <w:sz w:val="28"/>
          <w:szCs w:val="28"/>
        </w:rPr>
        <w:t>a</w:t>
      </w:r>
      <w:r w:rsidRPr="005A14CE">
        <w:rPr>
          <w:sz w:val="28"/>
          <w:szCs w:val="28"/>
        </w:rPr>
        <w:t xml:space="preserve">s felt essential that the ODP for Panaji Planning Area now </w:t>
      </w:r>
      <w:r w:rsidR="00176941" w:rsidRPr="005A14CE">
        <w:rPr>
          <w:sz w:val="28"/>
          <w:szCs w:val="28"/>
        </w:rPr>
        <w:t xml:space="preserve">need to be </w:t>
      </w:r>
      <w:r w:rsidRPr="005A14CE">
        <w:rPr>
          <w:sz w:val="28"/>
          <w:szCs w:val="28"/>
        </w:rPr>
        <w:t>prepared by North Goa PDA.</w:t>
      </w:r>
    </w:p>
    <w:p w:rsidR="000E4B47" w:rsidRPr="000E4B47" w:rsidRDefault="000E4B47" w:rsidP="000E4B47">
      <w:pPr>
        <w:pStyle w:val="ListParagraph"/>
        <w:spacing w:after="200"/>
        <w:ind w:left="0" w:firstLine="720"/>
        <w:jc w:val="both"/>
        <w:rPr>
          <w:sz w:val="14"/>
          <w:szCs w:val="28"/>
        </w:rPr>
      </w:pPr>
    </w:p>
    <w:p w:rsidR="00176941" w:rsidRPr="005A14CE" w:rsidRDefault="008962DB" w:rsidP="008962DB">
      <w:pPr>
        <w:pStyle w:val="ListParagraph"/>
        <w:spacing w:after="200" w:line="360" w:lineRule="auto"/>
        <w:ind w:left="0" w:firstLine="720"/>
        <w:jc w:val="both"/>
        <w:rPr>
          <w:sz w:val="28"/>
          <w:szCs w:val="28"/>
        </w:rPr>
      </w:pPr>
      <w:r w:rsidRPr="005A14CE">
        <w:rPr>
          <w:sz w:val="28"/>
          <w:szCs w:val="28"/>
        </w:rPr>
        <w:t xml:space="preserve">Accordingly, it was </w:t>
      </w:r>
      <w:r w:rsidR="00F65442" w:rsidRPr="005A14CE">
        <w:rPr>
          <w:sz w:val="28"/>
          <w:szCs w:val="28"/>
        </w:rPr>
        <w:t>recommended</w:t>
      </w:r>
      <w:r w:rsidRPr="005A14CE">
        <w:rPr>
          <w:sz w:val="28"/>
          <w:szCs w:val="28"/>
        </w:rPr>
        <w:t xml:space="preserve"> that Government directions be issued to North Goa PDA </w:t>
      </w:r>
      <w:r w:rsidR="000E4B47">
        <w:rPr>
          <w:sz w:val="28"/>
          <w:szCs w:val="28"/>
        </w:rPr>
        <w:t>to prepare</w:t>
      </w:r>
      <w:r w:rsidRPr="005A14CE">
        <w:rPr>
          <w:sz w:val="28"/>
          <w:szCs w:val="28"/>
        </w:rPr>
        <w:t xml:space="preserve"> </w:t>
      </w:r>
      <w:r w:rsidR="00176941" w:rsidRPr="005A14CE">
        <w:rPr>
          <w:sz w:val="28"/>
          <w:szCs w:val="28"/>
        </w:rPr>
        <w:t>ODP</w:t>
      </w:r>
      <w:r w:rsidRPr="005A14CE">
        <w:rPr>
          <w:sz w:val="28"/>
          <w:szCs w:val="28"/>
        </w:rPr>
        <w:t xml:space="preserve"> for Panaji Planning Area, once the said area is brought under its jurisdiction.</w:t>
      </w:r>
      <w:r w:rsidR="00176941" w:rsidRPr="005A14CE">
        <w:rPr>
          <w:sz w:val="28"/>
          <w:szCs w:val="28"/>
        </w:rPr>
        <w:t xml:space="preserve"> </w:t>
      </w:r>
    </w:p>
    <w:p w:rsidR="008962DB" w:rsidRPr="005A14CE" w:rsidRDefault="008962DB" w:rsidP="008962DB">
      <w:pPr>
        <w:pStyle w:val="ListParagraph"/>
        <w:spacing w:after="200" w:line="360" w:lineRule="auto"/>
        <w:ind w:left="0" w:firstLine="720"/>
        <w:jc w:val="both"/>
        <w:rPr>
          <w:sz w:val="28"/>
          <w:szCs w:val="28"/>
        </w:rPr>
      </w:pPr>
    </w:p>
    <w:p w:rsidR="000E4B47" w:rsidRDefault="000E4B47">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76941" w:rsidRPr="005A14CE" w:rsidRDefault="00176941" w:rsidP="00D61387">
      <w:pPr>
        <w:spacing w:after="200" w:line="240" w:lineRule="auto"/>
        <w:jc w:val="both"/>
        <w:rPr>
          <w:rFonts w:ascii="Times New Roman" w:hAnsi="Times New Roman" w:cs="Times New Roman"/>
          <w:b/>
          <w:sz w:val="28"/>
          <w:szCs w:val="28"/>
        </w:rPr>
      </w:pPr>
      <w:r w:rsidRPr="005A14CE">
        <w:rPr>
          <w:rFonts w:ascii="Times New Roman" w:hAnsi="Times New Roman" w:cs="Times New Roman"/>
          <w:b/>
          <w:sz w:val="28"/>
          <w:szCs w:val="28"/>
        </w:rPr>
        <w:lastRenderedPageBreak/>
        <w:t>Item No. 8: Guidelines to be followed at the time of preparation of ODPs.</w:t>
      </w:r>
    </w:p>
    <w:p w:rsidR="00176941" w:rsidRPr="005A14CE" w:rsidRDefault="008962DB"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informed that i</w:t>
      </w:r>
      <w:r w:rsidR="00176941" w:rsidRPr="005A14CE">
        <w:rPr>
          <w:rFonts w:ascii="Times New Roman" w:hAnsi="Times New Roman" w:cs="Times New Roman"/>
          <w:sz w:val="28"/>
          <w:szCs w:val="28"/>
        </w:rPr>
        <w:t xml:space="preserve">t is noticed that at the time of preparation of ODPs,  properties even which are of eco-sensitive in nature, are considered for </w:t>
      </w:r>
      <w:r w:rsidRPr="005A14CE">
        <w:rPr>
          <w:rFonts w:ascii="Times New Roman" w:hAnsi="Times New Roman" w:cs="Times New Roman"/>
          <w:sz w:val="28"/>
          <w:szCs w:val="28"/>
        </w:rPr>
        <w:t xml:space="preserve">change of zone by the PDAs and </w:t>
      </w:r>
      <w:r w:rsidR="00176941" w:rsidRPr="005A14CE">
        <w:rPr>
          <w:rFonts w:ascii="Times New Roman" w:hAnsi="Times New Roman" w:cs="Times New Roman"/>
          <w:sz w:val="28"/>
          <w:szCs w:val="28"/>
        </w:rPr>
        <w:t xml:space="preserve"> often </w:t>
      </w:r>
      <w:r w:rsidRPr="005A14CE">
        <w:rPr>
          <w:rFonts w:ascii="Times New Roman" w:hAnsi="Times New Roman" w:cs="Times New Roman"/>
          <w:sz w:val="28"/>
          <w:szCs w:val="28"/>
        </w:rPr>
        <w:t xml:space="preserve">it is </w:t>
      </w:r>
      <w:r w:rsidR="00176941" w:rsidRPr="005A14CE">
        <w:rPr>
          <w:rFonts w:ascii="Times New Roman" w:hAnsi="Times New Roman" w:cs="Times New Roman"/>
          <w:sz w:val="28"/>
          <w:szCs w:val="28"/>
        </w:rPr>
        <w:t xml:space="preserve">seen that </w:t>
      </w:r>
      <w:r w:rsidRPr="005A14CE">
        <w:rPr>
          <w:rFonts w:ascii="Times New Roman" w:hAnsi="Times New Roman" w:cs="Times New Roman"/>
          <w:sz w:val="28"/>
          <w:szCs w:val="28"/>
        </w:rPr>
        <w:t>such</w:t>
      </w:r>
      <w:r w:rsidR="00176941" w:rsidRPr="005A14CE">
        <w:rPr>
          <w:rFonts w:ascii="Times New Roman" w:hAnsi="Times New Roman" w:cs="Times New Roman"/>
          <w:sz w:val="28"/>
          <w:szCs w:val="28"/>
        </w:rPr>
        <w:t xml:space="preserve"> areas includes low lying paddy fields, water bodies, khazan lands, flood prone areas, land having slopes more than 25%, forest land including private forest land, land falling in the buffer zone of Wild Life Sanctuaries, te</w:t>
      </w:r>
      <w:r w:rsidR="005B313D" w:rsidRPr="005A14CE">
        <w:rPr>
          <w:rFonts w:ascii="Times New Roman" w:hAnsi="Times New Roman" w:cs="Times New Roman"/>
          <w:sz w:val="28"/>
          <w:szCs w:val="28"/>
        </w:rPr>
        <w:t>nanted agricultural lands etc.</w:t>
      </w:r>
    </w:p>
    <w:p w:rsidR="00176941" w:rsidRPr="005A14CE" w:rsidRDefault="005B313D"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Considering the past experience, the Board took serious note of the fact </w:t>
      </w:r>
      <w:r w:rsidR="00176941" w:rsidRPr="005A14CE">
        <w:rPr>
          <w:rFonts w:ascii="Times New Roman" w:hAnsi="Times New Roman" w:cs="Times New Roman"/>
          <w:sz w:val="28"/>
          <w:szCs w:val="28"/>
        </w:rPr>
        <w:t xml:space="preserve">that once </w:t>
      </w:r>
      <w:r w:rsidRPr="005A14CE">
        <w:rPr>
          <w:rFonts w:ascii="Times New Roman" w:hAnsi="Times New Roman" w:cs="Times New Roman"/>
          <w:sz w:val="28"/>
          <w:szCs w:val="28"/>
        </w:rPr>
        <w:t xml:space="preserve">such eco-sensitive areas are </w:t>
      </w:r>
      <w:r w:rsidR="00176941" w:rsidRPr="005A14CE">
        <w:rPr>
          <w:rFonts w:ascii="Times New Roman" w:hAnsi="Times New Roman" w:cs="Times New Roman"/>
          <w:sz w:val="28"/>
          <w:szCs w:val="28"/>
        </w:rPr>
        <w:t>considered for change of zone under the draft ODP</w:t>
      </w:r>
      <w:r w:rsidRPr="005A14CE">
        <w:rPr>
          <w:rFonts w:ascii="Times New Roman" w:hAnsi="Times New Roman" w:cs="Times New Roman"/>
          <w:sz w:val="28"/>
          <w:szCs w:val="28"/>
        </w:rPr>
        <w:t>s</w:t>
      </w:r>
      <w:r w:rsidR="00176941" w:rsidRPr="005A14CE">
        <w:rPr>
          <w:rFonts w:ascii="Times New Roman" w:hAnsi="Times New Roman" w:cs="Times New Roman"/>
          <w:sz w:val="28"/>
          <w:szCs w:val="28"/>
        </w:rPr>
        <w:t>, even the objection</w:t>
      </w:r>
      <w:r w:rsidRPr="005A14CE">
        <w:rPr>
          <w:rFonts w:ascii="Times New Roman" w:hAnsi="Times New Roman" w:cs="Times New Roman"/>
          <w:sz w:val="28"/>
          <w:szCs w:val="28"/>
        </w:rPr>
        <w:t>s</w:t>
      </w:r>
      <w:r w:rsidR="00176941" w:rsidRPr="005A14CE">
        <w:rPr>
          <w:rFonts w:ascii="Times New Roman" w:hAnsi="Times New Roman" w:cs="Times New Roman"/>
          <w:sz w:val="28"/>
          <w:szCs w:val="28"/>
        </w:rPr>
        <w:t xml:space="preserve"> received for the same are overruled by the A</w:t>
      </w:r>
      <w:r w:rsidRPr="005A14CE">
        <w:rPr>
          <w:rFonts w:ascii="Times New Roman" w:hAnsi="Times New Roman" w:cs="Times New Roman"/>
          <w:sz w:val="28"/>
          <w:szCs w:val="28"/>
        </w:rPr>
        <w:t>uthority, which</w:t>
      </w:r>
      <w:r w:rsidR="00176941" w:rsidRPr="005A14CE">
        <w:rPr>
          <w:rFonts w:ascii="Times New Roman" w:hAnsi="Times New Roman" w:cs="Times New Roman"/>
          <w:sz w:val="28"/>
          <w:szCs w:val="28"/>
        </w:rPr>
        <w:t xml:space="preserve"> often</w:t>
      </w:r>
      <w:r w:rsidRPr="005A14CE">
        <w:rPr>
          <w:rFonts w:ascii="Times New Roman" w:hAnsi="Times New Roman" w:cs="Times New Roman"/>
          <w:sz w:val="28"/>
          <w:szCs w:val="28"/>
        </w:rPr>
        <w:t xml:space="preserve"> leads to </w:t>
      </w:r>
      <w:r w:rsidR="00176941" w:rsidRPr="005A14CE">
        <w:rPr>
          <w:rFonts w:ascii="Times New Roman" w:hAnsi="Times New Roman" w:cs="Times New Roman"/>
          <w:sz w:val="28"/>
          <w:szCs w:val="28"/>
        </w:rPr>
        <w:t>litigations and</w:t>
      </w:r>
      <w:r w:rsidR="00F65442" w:rsidRPr="005A14CE">
        <w:rPr>
          <w:rFonts w:ascii="Times New Roman" w:hAnsi="Times New Roman" w:cs="Times New Roman"/>
          <w:sz w:val="28"/>
          <w:szCs w:val="28"/>
        </w:rPr>
        <w:t xml:space="preserve"> raises other environmental </w:t>
      </w:r>
      <w:r w:rsidRPr="005A14CE">
        <w:rPr>
          <w:rFonts w:ascii="Times New Roman" w:hAnsi="Times New Roman" w:cs="Times New Roman"/>
          <w:sz w:val="28"/>
          <w:szCs w:val="28"/>
        </w:rPr>
        <w:t>issues.</w:t>
      </w:r>
    </w:p>
    <w:p w:rsidR="005B313D" w:rsidRPr="005A14CE" w:rsidRDefault="005B313D"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Board therefore expressed that the </w:t>
      </w:r>
      <w:r w:rsidR="00176941" w:rsidRPr="005A14CE">
        <w:rPr>
          <w:rFonts w:ascii="Times New Roman" w:hAnsi="Times New Roman" w:cs="Times New Roman"/>
          <w:sz w:val="28"/>
          <w:szCs w:val="28"/>
        </w:rPr>
        <w:t xml:space="preserve">Member Secretaries </w:t>
      </w:r>
      <w:r w:rsidRPr="005A14CE">
        <w:rPr>
          <w:rFonts w:ascii="Times New Roman" w:hAnsi="Times New Roman" w:cs="Times New Roman"/>
          <w:sz w:val="28"/>
          <w:szCs w:val="28"/>
        </w:rPr>
        <w:t>are required to be</w:t>
      </w:r>
      <w:r w:rsidR="00F65442" w:rsidRPr="005A14CE">
        <w:rPr>
          <w:rFonts w:ascii="Times New Roman" w:hAnsi="Times New Roman" w:cs="Times New Roman"/>
          <w:sz w:val="28"/>
          <w:szCs w:val="28"/>
        </w:rPr>
        <w:t xml:space="preserve"> more</w:t>
      </w:r>
      <w:r w:rsidRPr="005A14CE">
        <w:rPr>
          <w:rFonts w:ascii="Times New Roman" w:hAnsi="Times New Roman" w:cs="Times New Roman"/>
          <w:sz w:val="28"/>
          <w:szCs w:val="28"/>
        </w:rPr>
        <w:t xml:space="preserve"> sensitive to th</w:t>
      </w:r>
      <w:r w:rsidR="00F65442" w:rsidRPr="005A14CE">
        <w:rPr>
          <w:rFonts w:ascii="Times New Roman" w:hAnsi="Times New Roman" w:cs="Times New Roman"/>
          <w:sz w:val="28"/>
          <w:szCs w:val="28"/>
        </w:rPr>
        <w:t>is</w:t>
      </w:r>
      <w:r w:rsidRPr="005A14CE">
        <w:rPr>
          <w:rFonts w:ascii="Times New Roman" w:hAnsi="Times New Roman" w:cs="Times New Roman"/>
          <w:sz w:val="28"/>
          <w:szCs w:val="28"/>
        </w:rPr>
        <w:t xml:space="preserve"> issue and ensure that no such proposals concerning eco-sensitive zones are considered for change of zone.</w:t>
      </w:r>
    </w:p>
    <w:p w:rsidR="00176941" w:rsidRPr="005A14CE" w:rsidRDefault="005B313D"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also expressed that the concerned Member Secretaries shall be held responsible if they fail to address this issue during the preparation of ODPs.  The Board also expressed that the concerned Member Secretar</w:t>
      </w:r>
      <w:r w:rsidR="00F65442" w:rsidRPr="005A14CE">
        <w:rPr>
          <w:rFonts w:ascii="Times New Roman" w:hAnsi="Times New Roman" w:cs="Times New Roman"/>
          <w:sz w:val="28"/>
          <w:szCs w:val="28"/>
        </w:rPr>
        <w:t>ies</w:t>
      </w:r>
      <w:r w:rsidRPr="005A14CE">
        <w:rPr>
          <w:rFonts w:ascii="Times New Roman" w:hAnsi="Times New Roman" w:cs="Times New Roman"/>
          <w:sz w:val="28"/>
          <w:szCs w:val="28"/>
        </w:rPr>
        <w:t xml:space="preserve"> shall</w:t>
      </w:r>
      <w:r w:rsidR="00176941" w:rsidRPr="005A14CE">
        <w:rPr>
          <w:rFonts w:ascii="Times New Roman" w:hAnsi="Times New Roman" w:cs="Times New Roman"/>
          <w:sz w:val="28"/>
          <w:szCs w:val="28"/>
        </w:rPr>
        <w:t xml:space="preserve"> ensure </w:t>
      </w:r>
      <w:r w:rsidRPr="005A14CE">
        <w:rPr>
          <w:rFonts w:ascii="Times New Roman" w:hAnsi="Times New Roman" w:cs="Times New Roman"/>
          <w:sz w:val="28"/>
          <w:szCs w:val="28"/>
        </w:rPr>
        <w:t xml:space="preserve">that </w:t>
      </w:r>
      <w:r w:rsidR="00176941" w:rsidRPr="005A14CE">
        <w:rPr>
          <w:rFonts w:ascii="Times New Roman" w:hAnsi="Times New Roman" w:cs="Times New Roman"/>
          <w:sz w:val="28"/>
          <w:szCs w:val="28"/>
        </w:rPr>
        <w:t>right of ways of notified roads such as National Highways, State Highways and MDR are not altered</w:t>
      </w:r>
      <w:r w:rsidRPr="005A14CE">
        <w:rPr>
          <w:rFonts w:ascii="Times New Roman" w:hAnsi="Times New Roman" w:cs="Times New Roman"/>
          <w:sz w:val="28"/>
          <w:szCs w:val="28"/>
        </w:rPr>
        <w:t xml:space="preserve"> and </w:t>
      </w:r>
      <w:r w:rsidR="00F65442" w:rsidRPr="005A14CE">
        <w:rPr>
          <w:rFonts w:ascii="Times New Roman" w:hAnsi="Times New Roman" w:cs="Times New Roman"/>
          <w:sz w:val="28"/>
          <w:szCs w:val="28"/>
        </w:rPr>
        <w:t>opined that</w:t>
      </w:r>
      <w:r w:rsidR="00176941" w:rsidRPr="005A14CE">
        <w:rPr>
          <w:rFonts w:ascii="Times New Roman" w:hAnsi="Times New Roman" w:cs="Times New Roman"/>
          <w:sz w:val="28"/>
          <w:szCs w:val="28"/>
        </w:rPr>
        <w:t xml:space="preserve"> de-zoning of the properties, which are under developable zone, </w:t>
      </w:r>
      <w:r w:rsidR="00F65442" w:rsidRPr="005A14CE">
        <w:rPr>
          <w:rFonts w:ascii="Times New Roman" w:hAnsi="Times New Roman" w:cs="Times New Roman"/>
          <w:sz w:val="28"/>
          <w:szCs w:val="28"/>
        </w:rPr>
        <w:t>be</w:t>
      </w:r>
      <w:r w:rsidR="00176941" w:rsidRPr="005A14CE">
        <w:rPr>
          <w:rFonts w:ascii="Times New Roman" w:hAnsi="Times New Roman" w:cs="Times New Roman"/>
          <w:sz w:val="28"/>
          <w:szCs w:val="28"/>
        </w:rPr>
        <w:t xml:space="preserve">  discouraged.</w:t>
      </w:r>
    </w:p>
    <w:p w:rsidR="00176941" w:rsidRPr="005A14CE" w:rsidRDefault="005B313D" w:rsidP="00176941">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Accordingly, it was decided that d</w:t>
      </w:r>
      <w:r w:rsidR="00176941" w:rsidRPr="005A14CE">
        <w:rPr>
          <w:rFonts w:ascii="Times New Roman" w:hAnsi="Times New Roman" w:cs="Times New Roman"/>
          <w:sz w:val="28"/>
          <w:szCs w:val="28"/>
        </w:rPr>
        <w:t>irection</w:t>
      </w:r>
      <w:r w:rsidRPr="005A14CE">
        <w:rPr>
          <w:rFonts w:ascii="Times New Roman" w:hAnsi="Times New Roman" w:cs="Times New Roman"/>
          <w:sz w:val="28"/>
          <w:szCs w:val="28"/>
        </w:rPr>
        <w:t>s be issued</w:t>
      </w:r>
      <w:r w:rsidR="00176941" w:rsidRPr="005A14CE">
        <w:rPr>
          <w:rFonts w:ascii="Times New Roman" w:hAnsi="Times New Roman" w:cs="Times New Roman"/>
          <w:sz w:val="28"/>
          <w:szCs w:val="28"/>
        </w:rPr>
        <w:t xml:space="preserve"> to the </w:t>
      </w:r>
      <w:r w:rsidRPr="005A14CE">
        <w:rPr>
          <w:rFonts w:ascii="Times New Roman" w:hAnsi="Times New Roman" w:cs="Times New Roman"/>
          <w:sz w:val="28"/>
          <w:szCs w:val="28"/>
        </w:rPr>
        <w:t xml:space="preserve">concerned </w:t>
      </w:r>
      <w:r w:rsidR="00176941" w:rsidRPr="005A14CE">
        <w:rPr>
          <w:rFonts w:ascii="Times New Roman" w:hAnsi="Times New Roman" w:cs="Times New Roman"/>
          <w:sz w:val="28"/>
          <w:szCs w:val="28"/>
        </w:rPr>
        <w:t xml:space="preserve">PDAs </w:t>
      </w:r>
      <w:r w:rsidRPr="005A14CE">
        <w:rPr>
          <w:rFonts w:ascii="Times New Roman" w:hAnsi="Times New Roman" w:cs="Times New Roman"/>
          <w:sz w:val="28"/>
          <w:szCs w:val="28"/>
        </w:rPr>
        <w:t>in this regard</w:t>
      </w:r>
      <w:r w:rsidR="00176941" w:rsidRPr="005A14CE">
        <w:rPr>
          <w:rFonts w:ascii="Times New Roman" w:hAnsi="Times New Roman" w:cs="Times New Roman"/>
          <w:sz w:val="28"/>
          <w:szCs w:val="28"/>
        </w:rPr>
        <w:t>.</w:t>
      </w:r>
    </w:p>
    <w:p w:rsidR="00176941" w:rsidRPr="005A14CE" w:rsidRDefault="00176941" w:rsidP="00176941">
      <w:pPr>
        <w:pStyle w:val="ListParagraph"/>
        <w:spacing w:after="200"/>
        <w:ind w:left="0"/>
        <w:jc w:val="both"/>
        <w:rPr>
          <w:b/>
          <w:sz w:val="28"/>
          <w:szCs w:val="28"/>
        </w:rPr>
      </w:pPr>
    </w:p>
    <w:p w:rsidR="00176941" w:rsidRPr="005A14CE" w:rsidRDefault="00176941" w:rsidP="00176941">
      <w:pPr>
        <w:pStyle w:val="ListParagraph"/>
        <w:spacing w:after="200"/>
        <w:ind w:left="0"/>
        <w:jc w:val="both"/>
        <w:rPr>
          <w:b/>
          <w:sz w:val="28"/>
          <w:szCs w:val="28"/>
        </w:rPr>
      </w:pPr>
      <w:r w:rsidRPr="005A14CE">
        <w:rPr>
          <w:b/>
          <w:sz w:val="28"/>
          <w:szCs w:val="28"/>
        </w:rPr>
        <w:t>Item No. 9:  Regarding extension of Margao Planning Area.</w:t>
      </w:r>
    </w:p>
    <w:p w:rsidR="00176941" w:rsidRPr="005A14CE" w:rsidRDefault="00176941" w:rsidP="00176941">
      <w:pPr>
        <w:pStyle w:val="ListParagraph"/>
        <w:spacing w:after="200"/>
        <w:ind w:left="0"/>
        <w:jc w:val="both"/>
        <w:rPr>
          <w:b/>
          <w:sz w:val="28"/>
          <w:szCs w:val="28"/>
        </w:rPr>
      </w:pPr>
      <w:r w:rsidRPr="005A14CE">
        <w:rPr>
          <w:b/>
          <w:sz w:val="28"/>
          <w:szCs w:val="28"/>
        </w:rPr>
        <w:t xml:space="preserve"> </w:t>
      </w:r>
    </w:p>
    <w:p w:rsidR="00176941" w:rsidRPr="005A14CE" w:rsidRDefault="00A41E96" w:rsidP="00176941">
      <w:pPr>
        <w:pStyle w:val="ListParagraph"/>
        <w:spacing w:after="200" w:line="360" w:lineRule="auto"/>
        <w:ind w:left="0" w:firstLine="720"/>
        <w:jc w:val="both"/>
        <w:rPr>
          <w:sz w:val="28"/>
          <w:szCs w:val="28"/>
        </w:rPr>
      </w:pPr>
      <w:r w:rsidRPr="005A14CE">
        <w:rPr>
          <w:sz w:val="28"/>
          <w:szCs w:val="28"/>
        </w:rPr>
        <w:t>Member Secretary informed that t</w:t>
      </w:r>
      <w:r w:rsidR="00176941" w:rsidRPr="005A14CE">
        <w:rPr>
          <w:sz w:val="28"/>
          <w:szCs w:val="28"/>
        </w:rPr>
        <w:t xml:space="preserve">he South Goa PDA </w:t>
      </w:r>
      <w:r w:rsidRPr="005A14CE">
        <w:rPr>
          <w:sz w:val="28"/>
          <w:szCs w:val="28"/>
        </w:rPr>
        <w:t xml:space="preserve">is </w:t>
      </w:r>
      <w:r w:rsidR="00176941" w:rsidRPr="005A14CE">
        <w:rPr>
          <w:sz w:val="28"/>
          <w:szCs w:val="28"/>
        </w:rPr>
        <w:t>having its jurisdiction over Margao Planni</w:t>
      </w:r>
      <w:r w:rsidRPr="005A14CE">
        <w:rPr>
          <w:sz w:val="28"/>
          <w:szCs w:val="28"/>
        </w:rPr>
        <w:t xml:space="preserve">ng Area and Ponda Planning Area and </w:t>
      </w:r>
      <w:r w:rsidR="00F65442" w:rsidRPr="005A14CE">
        <w:rPr>
          <w:sz w:val="28"/>
          <w:szCs w:val="28"/>
        </w:rPr>
        <w:t xml:space="preserve">that </w:t>
      </w:r>
      <w:r w:rsidRPr="005A14CE">
        <w:rPr>
          <w:sz w:val="28"/>
          <w:szCs w:val="28"/>
        </w:rPr>
        <w:t>Margao Planning area consist of Margao and Fatorda municipal area.  The Board took note that the Margao Town is further developing rapidly along its outskirt</w:t>
      </w:r>
      <w:r w:rsidR="00057332" w:rsidRPr="005A14CE">
        <w:rPr>
          <w:sz w:val="28"/>
          <w:szCs w:val="28"/>
        </w:rPr>
        <w:t>s</w:t>
      </w:r>
      <w:r w:rsidRPr="005A14CE">
        <w:rPr>
          <w:sz w:val="28"/>
          <w:szCs w:val="28"/>
        </w:rPr>
        <w:t xml:space="preserve"> and as such villages of </w:t>
      </w:r>
      <w:r w:rsidR="00176941" w:rsidRPr="005A14CE">
        <w:rPr>
          <w:sz w:val="28"/>
          <w:szCs w:val="28"/>
        </w:rPr>
        <w:t xml:space="preserve">Davorlim, Arlem, Aquem-Baixo and Navelim </w:t>
      </w:r>
      <w:r w:rsidRPr="005A14CE">
        <w:rPr>
          <w:sz w:val="28"/>
          <w:szCs w:val="28"/>
        </w:rPr>
        <w:t>are getting developed fast and as a result of which</w:t>
      </w:r>
      <w:r w:rsidR="00176941" w:rsidRPr="005A14CE">
        <w:rPr>
          <w:sz w:val="28"/>
          <w:szCs w:val="28"/>
        </w:rPr>
        <w:t xml:space="preserve">  Navelim is </w:t>
      </w:r>
      <w:r w:rsidR="00176941" w:rsidRPr="005A14CE">
        <w:rPr>
          <w:sz w:val="28"/>
          <w:szCs w:val="28"/>
        </w:rPr>
        <w:lastRenderedPageBreak/>
        <w:t xml:space="preserve">already considered as census town </w:t>
      </w:r>
      <w:r w:rsidRPr="005A14CE">
        <w:rPr>
          <w:sz w:val="28"/>
          <w:szCs w:val="28"/>
        </w:rPr>
        <w:t xml:space="preserve">as it </w:t>
      </w:r>
      <w:r w:rsidR="00176941" w:rsidRPr="005A14CE">
        <w:rPr>
          <w:sz w:val="28"/>
          <w:szCs w:val="28"/>
        </w:rPr>
        <w:t xml:space="preserve">has got all the characteristics as that of any city.  </w:t>
      </w:r>
      <w:r w:rsidRPr="005A14CE">
        <w:rPr>
          <w:sz w:val="28"/>
          <w:szCs w:val="28"/>
        </w:rPr>
        <w:t xml:space="preserve">It was also observed that besides several residential complexes, </w:t>
      </w:r>
      <w:r w:rsidR="00F65442" w:rsidRPr="005A14CE">
        <w:rPr>
          <w:sz w:val="28"/>
          <w:szCs w:val="28"/>
        </w:rPr>
        <w:t>a</w:t>
      </w:r>
      <w:r w:rsidRPr="005A14CE">
        <w:rPr>
          <w:sz w:val="28"/>
          <w:szCs w:val="28"/>
        </w:rPr>
        <w:t xml:space="preserve"> l</w:t>
      </w:r>
      <w:r w:rsidR="00176941" w:rsidRPr="005A14CE">
        <w:rPr>
          <w:sz w:val="28"/>
          <w:szCs w:val="28"/>
        </w:rPr>
        <w:t xml:space="preserve">arge number of commercial, educational and medical institutions are </w:t>
      </w:r>
      <w:r w:rsidRPr="005A14CE">
        <w:rPr>
          <w:sz w:val="28"/>
          <w:szCs w:val="28"/>
        </w:rPr>
        <w:t>set up</w:t>
      </w:r>
      <w:r w:rsidR="00176941" w:rsidRPr="005A14CE">
        <w:rPr>
          <w:sz w:val="28"/>
          <w:szCs w:val="28"/>
        </w:rPr>
        <w:t xml:space="preserve"> in this constituency.  </w:t>
      </w:r>
    </w:p>
    <w:p w:rsidR="00176941" w:rsidRPr="005A14CE" w:rsidRDefault="00176941" w:rsidP="00075B5B">
      <w:pPr>
        <w:pStyle w:val="ListParagraph"/>
        <w:spacing w:after="200"/>
        <w:ind w:left="0" w:firstLine="720"/>
        <w:jc w:val="both"/>
        <w:rPr>
          <w:sz w:val="8"/>
          <w:szCs w:val="28"/>
        </w:rPr>
      </w:pPr>
    </w:p>
    <w:p w:rsidR="00176941" w:rsidRPr="005A14CE" w:rsidRDefault="00A41E96" w:rsidP="00A41E96">
      <w:pPr>
        <w:pStyle w:val="ListParagraph"/>
        <w:spacing w:after="200" w:line="360" w:lineRule="auto"/>
        <w:ind w:left="0" w:firstLine="720"/>
        <w:jc w:val="both"/>
        <w:rPr>
          <w:sz w:val="28"/>
          <w:szCs w:val="28"/>
        </w:rPr>
      </w:pPr>
      <w:r w:rsidRPr="005A14CE">
        <w:rPr>
          <w:sz w:val="28"/>
          <w:szCs w:val="28"/>
        </w:rPr>
        <w:t xml:space="preserve">The Board was further informed that </w:t>
      </w:r>
      <w:r w:rsidR="00F65442" w:rsidRPr="005A14CE">
        <w:rPr>
          <w:sz w:val="28"/>
          <w:szCs w:val="28"/>
        </w:rPr>
        <w:t>under</w:t>
      </w:r>
      <w:r w:rsidRPr="005A14CE">
        <w:rPr>
          <w:sz w:val="28"/>
          <w:szCs w:val="28"/>
        </w:rPr>
        <w:t xml:space="preserve">  </w:t>
      </w:r>
      <w:r w:rsidR="00176941" w:rsidRPr="005A14CE">
        <w:rPr>
          <w:sz w:val="28"/>
          <w:szCs w:val="28"/>
        </w:rPr>
        <w:t xml:space="preserve">Release-I policy of RPG-2021, Navelim </w:t>
      </w:r>
      <w:r w:rsidR="009D5056" w:rsidRPr="005A14CE">
        <w:rPr>
          <w:sz w:val="28"/>
          <w:szCs w:val="28"/>
        </w:rPr>
        <w:t>comes under</w:t>
      </w:r>
      <w:r w:rsidR="00176941" w:rsidRPr="005A14CE">
        <w:rPr>
          <w:sz w:val="28"/>
          <w:szCs w:val="28"/>
        </w:rPr>
        <w:t xml:space="preserve"> VP-2 category having FAR </w:t>
      </w:r>
      <w:r w:rsidR="00F65442" w:rsidRPr="005A14CE">
        <w:rPr>
          <w:sz w:val="28"/>
          <w:szCs w:val="28"/>
        </w:rPr>
        <w:t>of</w:t>
      </w:r>
      <w:r w:rsidR="00176941" w:rsidRPr="005A14CE">
        <w:rPr>
          <w:sz w:val="28"/>
          <w:szCs w:val="28"/>
        </w:rPr>
        <w:t xml:space="preserve"> 60</w:t>
      </w:r>
      <w:r w:rsidR="009D5056" w:rsidRPr="005A14CE">
        <w:rPr>
          <w:sz w:val="28"/>
          <w:szCs w:val="28"/>
        </w:rPr>
        <w:t xml:space="preserve"> and hence </w:t>
      </w:r>
      <w:r w:rsidR="00176941" w:rsidRPr="005A14CE">
        <w:rPr>
          <w:sz w:val="28"/>
          <w:szCs w:val="28"/>
        </w:rPr>
        <w:t>there is a growing demand to increase the FAR in certain parts of th</w:t>
      </w:r>
      <w:r w:rsidR="00F65442" w:rsidRPr="005A14CE">
        <w:rPr>
          <w:sz w:val="28"/>
          <w:szCs w:val="28"/>
        </w:rPr>
        <w:t>is</w:t>
      </w:r>
      <w:r w:rsidR="00176941" w:rsidRPr="005A14CE">
        <w:rPr>
          <w:sz w:val="28"/>
          <w:szCs w:val="28"/>
        </w:rPr>
        <w:t xml:space="preserve"> village, </w:t>
      </w:r>
      <w:r w:rsidR="009D5056" w:rsidRPr="005A14CE">
        <w:rPr>
          <w:sz w:val="28"/>
          <w:szCs w:val="28"/>
        </w:rPr>
        <w:t xml:space="preserve">which </w:t>
      </w:r>
      <w:r w:rsidR="00176941" w:rsidRPr="005A14CE">
        <w:rPr>
          <w:sz w:val="28"/>
          <w:szCs w:val="28"/>
        </w:rPr>
        <w:t xml:space="preserve">however </w:t>
      </w:r>
      <w:r w:rsidR="009D5056" w:rsidRPr="005A14CE">
        <w:rPr>
          <w:sz w:val="28"/>
          <w:szCs w:val="28"/>
        </w:rPr>
        <w:t xml:space="preserve"> is not permitted under </w:t>
      </w:r>
      <w:r w:rsidR="00176941" w:rsidRPr="005A14CE">
        <w:rPr>
          <w:sz w:val="28"/>
          <w:szCs w:val="28"/>
        </w:rPr>
        <w:t>Regional Plan policy</w:t>
      </w:r>
      <w:r w:rsidR="009D5056" w:rsidRPr="005A14CE">
        <w:rPr>
          <w:sz w:val="28"/>
          <w:szCs w:val="28"/>
        </w:rPr>
        <w:t>.</w:t>
      </w:r>
      <w:r w:rsidR="00176941" w:rsidRPr="005A14CE">
        <w:rPr>
          <w:sz w:val="28"/>
          <w:szCs w:val="28"/>
        </w:rPr>
        <w:t xml:space="preserve"> </w:t>
      </w:r>
    </w:p>
    <w:p w:rsidR="00176941" w:rsidRPr="005A14CE" w:rsidRDefault="00176941" w:rsidP="00176941">
      <w:pPr>
        <w:pStyle w:val="ListParagraph"/>
        <w:spacing w:after="200"/>
        <w:ind w:left="0" w:firstLine="720"/>
        <w:jc w:val="both"/>
        <w:rPr>
          <w:sz w:val="8"/>
          <w:szCs w:val="28"/>
        </w:rPr>
      </w:pPr>
    </w:p>
    <w:p w:rsidR="009D5056" w:rsidRPr="005A14CE" w:rsidRDefault="00176941" w:rsidP="00176941">
      <w:pPr>
        <w:pStyle w:val="ListParagraph"/>
        <w:spacing w:after="200" w:line="360" w:lineRule="auto"/>
        <w:ind w:left="0" w:firstLine="720"/>
        <w:jc w:val="both"/>
        <w:rPr>
          <w:sz w:val="28"/>
          <w:szCs w:val="28"/>
        </w:rPr>
      </w:pPr>
      <w:r w:rsidRPr="005A14CE">
        <w:rPr>
          <w:sz w:val="28"/>
          <w:szCs w:val="28"/>
        </w:rPr>
        <w:t>The Board  deliberate</w:t>
      </w:r>
      <w:r w:rsidR="009D5056" w:rsidRPr="005A14CE">
        <w:rPr>
          <w:sz w:val="28"/>
          <w:szCs w:val="28"/>
        </w:rPr>
        <w:t xml:space="preserve">d in detail the possibility of increasing the </w:t>
      </w:r>
      <w:r w:rsidRPr="005A14CE">
        <w:rPr>
          <w:sz w:val="28"/>
          <w:szCs w:val="28"/>
        </w:rPr>
        <w:t xml:space="preserve"> Margao Planning Area</w:t>
      </w:r>
      <w:r w:rsidR="009D5056" w:rsidRPr="005A14CE">
        <w:rPr>
          <w:sz w:val="28"/>
          <w:szCs w:val="28"/>
        </w:rPr>
        <w:t xml:space="preserve"> and was of the opinion that properties/survey numbers specially under Navelim </w:t>
      </w:r>
      <w:r w:rsidR="005D0064" w:rsidRPr="005A14CE">
        <w:rPr>
          <w:sz w:val="28"/>
          <w:szCs w:val="28"/>
        </w:rPr>
        <w:t>C</w:t>
      </w:r>
      <w:r w:rsidR="009D5056" w:rsidRPr="005A14CE">
        <w:rPr>
          <w:sz w:val="28"/>
          <w:szCs w:val="28"/>
        </w:rPr>
        <w:t xml:space="preserve">onstituency, which are contiguous to Margao Municipal area, could be considered </w:t>
      </w:r>
      <w:r w:rsidRPr="005A14CE">
        <w:rPr>
          <w:sz w:val="28"/>
          <w:szCs w:val="28"/>
        </w:rPr>
        <w:t xml:space="preserve">to </w:t>
      </w:r>
      <w:r w:rsidR="009D5056" w:rsidRPr="005A14CE">
        <w:rPr>
          <w:sz w:val="28"/>
          <w:szCs w:val="28"/>
        </w:rPr>
        <w:t>be the</w:t>
      </w:r>
      <w:r w:rsidRPr="005A14CE">
        <w:rPr>
          <w:sz w:val="28"/>
          <w:szCs w:val="28"/>
        </w:rPr>
        <w:t xml:space="preserve"> part of </w:t>
      </w:r>
      <w:r w:rsidR="009D5056" w:rsidRPr="005A14CE">
        <w:rPr>
          <w:sz w:val="28"/>
          <w:szCs w:val="28"/>
        </w:rPr>
        <w:t>Planning Area.</w:t>
      </w:r>
    </w:p>
    <w:p w:rsidR="00075B5B" w:rsidRPr="00585FBA" w:rsidRDefault="00075B5B" w:rsidP="00075B5B">
      <w:pPr>
        <w:pStyle w:val="ListParagraph"/>
        <w:spacing w:after="200"/>
        <w:ind w:left="0" w:firstLine="720"/>
        <w:jc w:val="both"/>
        <w:rPr>
          <w:sz w:val="16"/>
          <w:szCs w:val="28"/>
        </w:rPr>
      </w:pPr>
    </w:p>
    <w:p w:rsidR="009D5056" w:rsidRPr="005A14CE" w:rsidRDefault="009D5056" w:rsidP="00176941">
      <w:pPr>
        <w:pStyle w:val="ListParagraph"/>
        <w:spacing w:after="200" w:line="360" w:lineRule="auto"/>
        <w:ind w:left="0" w:firstLine="720"/>
        <w:jc w:val="both"/>
        <w:rPr>
          <w:sz w:val="28"/>
          <w:szCs w:val="28"/>
        </w:rPr>
      </w:pPr>
      <w:r w:rsidRPr="005A14CE">
        <w:rPr>
          <w:sz w:val="28"/>
          <w:szCs w:val="28"/>
        </w:rPr>
        <w:t xml:space="preserve">The Board was however of the opinion that MLA of Navelim Constituency need to be consulted in this regard and his opinion </w:t>
      </w:r>
      <w:r w:rsidR="00F65442" w:rsidRPr="005A14CE">
        <w:rPr>
          <w:sz w:val="28"/>
          <w:szCs w:val="28"/>
        </w:rPr>
        <w:t xml:space="preserve">need to be obtained </w:t>
      </w:r>
      <w:r w:rsidRPr="005A14CE">
        <w:rPr>
          <w:sz w:val="28"/>
          <w:szCs w:val="28"/>
        </w:rPr>
        <w:t xml:space="preserve">sought as regards to inclusion of part of Navelim </w:t>
      </w:r>
      <w:r w:rsidR="00075B5B" w:rsidRPr="005A14CE">
        <w:rPr>
          <w:sz w:val="28"/>
          <w:szCs w:val="28"/>
        </w:rPr>
        <w:t>C</w:t>
      </w:r>
      <w:r w:rsidRPr="005A14CE">
        <w:rPr>
          <w:sz w:val="28"/>
          <w:szCs w:val="28"/>
        </w:rPr>
        <w:t xml:space="preserve">onstituency under Margao Planning Area. </w:t>
      </w:r>
    </w:p>
    <w:p w:rsidR="009D5056" w:rsidRPr="005A14CE" w:rsidRDefault="009D5056" w:rsidP="00176941">
      <w:pPr>
        <w:pStyle w:val="ListParagraph"/>
        <w:spacing w:after="200" w:line="360" w:lineRule="auto"/>
        <w:ind w:left="0" w:firstLine="720"/>
        <w:jc w:val="both"/>
        <w:rPr>
          <w:sz w:val="28"/>
          <w:szCs w:val="28"/>
        </w:rPr>
      </w:pPr>
      <w:r w:rsidRPr="005A14CE">
        <w:rPr>
          <w:sz w:val="28"/>
          <w:szCs w:val="28"/>
        </w:rPr>
        <w:t>It was therefore decided that any further decision in this regard shall be taken at the later date after obtaining the views of the local MLA.</w:t>
      </w:r>
    </w:p>
    <w:p w:rsidR="00D61387" w:rsidRPr="005A14CE" w:rsidRDefault="00D61387" w:rsidP="00D61387">
      <w:pPr>
        <w:pStyle w:val="ListParagraph"/>
        <w:spacing w:after="200"/>
        <w:ind w:left="0" w:firstLine="720"/>
        <w:jc w:val="both"/>
        <w:rPr>
          <w:sz w:val="10"/>
          <w:szCs w:val="28"/>
        </w:rPr>
      </w:pPr>
    </w:p>
    <w:p w:rsidR="009D5056" w:rsidRPr="005A14CE" w:rsidRDefault="009D5056" w:rsidP="00176941">
      <w:pPr>
        <w:pStyle w:val="ListParagraph"/>
        <w:spacing w:after="200" w:line="360" w:lineRule="auto"/>
        <w:ind w:left="0" w:firstLine="720"/>
        <w:jc w:val="both"/>
        <w:rPr>
          <w:sz w:val="28"/>
          <w:szCs w:val="28"/>
        </w:rPr>
      </w:pPr>
      <w:r w:rsidRPr="005A14CE">
        <w:rPr>
          <w:sz w:val="28"/>
          <w:szCs w:val="28"/>
        </w:rPr>
        <w:t xml:space="preserve">The Board also was of the opinion that a sub-committee consisting members of the Board, could be constituted to </w:t>
      </w:r>
      <w:r w:rsidR="00F65442" w:rsidRPr="005A14CE">
        <w:rPr>
          <w:sz w:val="28"/>
          <w:szCs w:val="28"/>
        </w:rPr>
        <w:t xml:space="preserve">further </w:t>
      </w:r>
      <w:r w:rsidRPr="005A14CE">
        <w:rPr>
          <w:sz w:val="28"/>
          <w:szCs w:val="28"/>
        </w:rPr>
        <w:t>study this proposal</w:t>
      </w:r>
    </w:p>
    <w:p w:rsidR="009D5056" w:rsidRPr="005A14CE" w:rsidRDefault="00971290" w:rsidP="00176941">
      <w:pPr>
        <w:pStyle w:val="ListParagraph"/>
        <w:spacing w:after="200" w:line="360" w:lineRule="auto"/>
        <w:ind w:left="0" w:firstLine="720"/>
        <w:jc w:val="both"/>
        <w:rPr>
          <w:sz w:val="28"/>
          <w:szCs w:val="28"/>
        </w:rPr>
      </w:pPr>
      <w:r w:rsidRPr="005A14CE">
        <w:rPr>
          <w:sz w:val="28"/>
          <w:szCs w:val="28"/>
        </w:rPr>
        <w:t xml:space="preserve">Decision on the </w:t>
      </w:r>
      <w:r w:rsidR="0017009E" w:rsidRPr="005A14CE">
        <w:rPr>
          <w:sz w:val="28"/>
          <w:szCs w:val="28"/>
        </w:rPr>
        <w:t>proposal was therefore deferred.</w:t>
      </w:r>
    </w:p>
    <w:p w:rsidR="00176941" w:rsidRPr="005A14CE" w:rsidRDefault="00176941" w:rsidP="00176941">
      <w:pPr>
        <w:pStyle w:val="ListParagraph"/>
        <w:spacing w:after="200" w:line="360" w:lineRule="auto"/>
        <w:ind w:left="0" w:firstLine="720"/>
        <w:jc w:val="both"/>
        <w:rPr>
          <w:sz w:val="40"/>
          <w:szCs w:val="28"/>
        </w:rPr>
      </w:pPr>
    </w:p>
    <w:p w:rsidR="00176941" w:rsidRPr="005A14CE" w:rsidRDefault="00176941" w:rsidP="00176941">
      <w:pPr>
        <w:pStyle w:val="ListParagraph"/>
        <w:spacing w:after="200"/>
        <w:ind w:left="0"/>
        <w:jc w:val="both"/>
        <w:rPr>
          <w:b/>
          <w:sz w:val="28"/>
          <w:szCs w:val="28"/>
        </w:rPr>
      </w:pPr>
      <w:r w:rsidRPr="005A14CE">
        <w:rPr>
          <w:b/>
          <w:sz w:val="28"/>
          <w:szCs w:val="28"/>
        </w:rPr>
        <w:t>Item No. 10:  Regarding  appointment of  Arch. Vinayak Bharne on TCP Board on honorary basis for the purpose of obtaining consultancy in various planning matters.</w:t>
      </w:r>
    </w:p>
    <w:p w:rsidR="009D5056" w:rsidRPr="005A14CE" w:rsidRDefault="009D5056" w:rsidP="00176941">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5A14CE">
        <w:rPr>
          <w:sz w:val="28"/>
          <w:szCs w:val="28"/>
        </w:rPr>
        <w:t>Member Secretary informed that</w:t>
      </w:r>
      <w:r w:rsidRPr="005A14CE">
        <w:rPr>
          <w:color w:val="222222"/>
          <w:sz w:val="28"/>
          <w:szCs w:val="28"/>
        </w:rPr>
        <w:t xml:space="preserve"> </w:t>
      </w:r>
      <w:r w:rsidR="00176941" w:rsidRPr="005A14CE">
        <w:rPr>
          <w:color w:val="222222"/>
          <w:sz w:val="28"/>
          <w:szCs w:val="28"/>
        </w:rPr>
        <w:t>Arch. Vinayak Bharne</w:t>
      </w:r>
      <w:r w:rsidRPr="005A14CE">
        <w:rPr>
          <w:color w:val="222222"/>
          <w:sz w:val="28"/>
          <w:szCs w:val="28"/>
        </w:rPr>
        <w:t xml:space="preserve">, who </w:t>
      </w:r>
      <w:r w:rsidR="00176941" w:rsidRPr="005A14CE">
        <w:rPr>
          <w:color w:val="222222"/>
          <w:sz w:val="28"/>
          <w:szCs w:val="28"/>
        </w:rPr>
        <w:t>is a Goan Architect</w:t>
      </w:r>
      <w:r w:rsidRPr="005A14CE">
        <w:rPr>
          <w:color w:val="222222"/>
          <w:sz w:val="28"/>
          <w:szCs w:val="28"/>
        </w:rPr>
        <w:t xml:space="preserve"> having </w:t>
      </w:r>
      <w:r w:rsidR="00176941" w:rsidRPr="005A14CE">
        <w:rPr>
          <w:color w:val="222222"/>
          <w:sz w:val="28"/>
          <w:szCs w:val="28"/>
        </w:rPr>
        <w:t xml:space="preserve">obtained </w:t>
      </w:r>
      <w:r w:rsidRPr="005A14CE">
        <w:rPr>
          <w:color w:val="222222"/>
          <w:sz w:val="28"/>
          <w:szCs w:val="28"/>
        </w:rPr>
        <w:t xml:space="preserve">his </w:t>
      </w:r>
      <w:r w:rsidR="00176941" w:rsidRPr="005A14CE">
        <w:rPr>
          <w:color w:val="222222"/>
          <w:sz w:val="28"/>
          <w:szCs w:val="28"/>
        </w:rPr>
        <w:t>Bachelor</w:t>
      </w:r>
      <w:r w:rsidRPr="005A14CE">
        <w:rPr>
          <w:color w:val="222222"/>
          <w:sz w:val="28"/>
          <w:szCs w:val="28"/>
        </w:rPr>
        <w:t xml:space="preserve">’s degree in </w:t>
      </w:r>
      <w:r w:rsidR="00176941" w:rsidRPr="005A14CE">
        <w:rPr>
          <w:color w:val="222222"/>
          <w:sz w:val="28"/>
          <w:szCs w:val="28"/>
        </w:rPr>
        <w:t>Architecture from Goa College of Arc</w:t>
      </w:r>
      <w:r w:rsidRPr="005A14CE">
        <w:rPr>
          <w:color w:val="222222"/>
          <w:sz w:val="28"/>
          <w:szCs w:val="28"/>
        </w:rPr>
        <w:t xml:space="preserve">hitecture, Panaji </w:t>
      </w:r>
      <w:r w:rsidR="00176941" w:rsidRPr="005A14CE">
        <w:rPr>
          <w:color w:val="222222"/>
          <w:sz w:val="28"/>
          <w:szCs w:val="28"/>
        </w:rPr>
        <w:t>is now a leading Urban Designer and City Planner in priva</w:t>
      </w:r>
      <w:r w:rsidRPr="005A14CE">
        <w:rPr>
          <w:color w:val="222222"/>
          <w:sz w:val="28"/>
          <w:szCs w:val="28"/>
        </w:rPr>
        <w:t>te practice in Los Angeles, USA and during his recent visit to Goa</w:t>
      </w:r>
      <w:r w:rsidR="0017009E" w:rsidRPr="005A14CE">
        <w:rPr>
          <w:color w:val="222222"/>
          <w:sz w:val="28"/>
          <w:szCs w:val="28"/>
        </w:rPr>
        <w:t>,</w:t>
      </w:r>
      <w:r w:rsidRPr="005A14CE">
        <w:rPr>
          <w:color w:val="222222"/>
          <w:sz w:val="28"/>
          <w:szCs w:val="28"/>
        </w:rPr>
        <w:t xml:space="preserve"> has expressed his  desire to</w:t>
      </w:r>
      <w:r w:rsidR="00176941" w:rsidRPr="005A14CE">
        <w:rPr>
          <w:color w:val="222222"/>
          <w:sz w:val="28"/>
          <w:szCs w:val="28"/>
        </w:rPr>
        <w:t xml:space="preserve"> work </w:t>
      </w:r>
      <w:r w:rsidRPr="005A14CE">
        <w:rPr>
          <w:color w:val="222222"/>
          <w:sz w:val="28"/>
          <w:szCs w:val="28"/>
        </w:rPr>
        <w:t>on honorary basis with the TCP Department.</w:t>
      </w:r>
    </w:p>
    <w:p w:rsidR="00075B5B" w:rsidRPr="005A14CE" w:rsidRDefault="00075B5B" w:rsidP="00075B5B">
      <w:pPr>
        <w:pStyle w:val="NormalWeb"/>
        <w:shd w:val="clear" w:color="auto" w:fill="FFFFFF"/>
        <w:spacing w:before="0" w:beforeAutospacing="0" w:after="0" w:afterAutospacing="0"/>
        <w:ind w:firstLine="720"/>
        <w:jc w:val="both"/>
        <w:textAlignment w:val="baseline"/>
        <w:rPr>
          <w:color w:val="222222"/>
          <w:sz w:val="10"/>
          <w:szCs w:val="28"/>
        </w:rPr>
      </w:pPr>
    </w:p>
    <w:p w:rsidR="00585FBA" w:rsidRDefault="00585FBA">
      <w:pPr>
        <w:spacing w:after="200" w:line="276" w:lineRule="auto"/>
        <w:rPr>
          <w:rFonts w:ascii="Times New Roman" w:eastAsia="Times New Roman" w:hAnsi="Times New Roman" w:cs="Times New Roman"/>
          <w:color w:val="222222"/>
          <w:sz w:val="28"/>
          <w:szCs w:val="28"/>
        </w:rPr>
      </w:pPr>
      <w:r>
        <w:rPr>
          <w:color w:val="222222"/>
          <w:sz w:val="28"/>
          <w:szCs w:val="28"/>
        </w:rPr>
        <w:br w:type="page"/>
      </w:r>
    </w:p>
    <w:p w:rsidR="00176941" w:rsidRPr="005A14CE" w:rsidRDefault="009D5056" w:rsidP="00176941">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5A14CE">
        <w:rPr>
          <w:color w:val="222222"/>
          <w:sz w:val="28"/>
          <w:szCs w:val="28"/>
        </w:rPr>
        <w:lastRenderedPageBreak/>
        <w:t>Member Secretary informed that professional work of</w:t>
      </w:r>
      <w:r w:rsidR="00176941" w:rsidRPr="005A14CE">
        <w:rPr>
          <w:color w:val="222222"/>
          <w:sz w:val="28"/>
          <w:szCs w:val="28"/>
        </w:rPr>
        <w:t xml:space="preserve"> Arch. Vinayak Bharne ranges from satellite cities, new towns, inner-city revitalization, resort-villages, campuses, and housing for corporate, private and institutional clients; to urban policies and </w:t>
      </w:r>
      <w:r w:rsidR="0017009E" w:rsidRPr="005A14CE">
        <w:rPr>
          <w:color w:val="222222"/>
          <w:sz w:val="28"/>
          <w:szCs w:val="28"/>
        </w:rPr>
        <w:t xml:space="preserve">that he </w:t>
      </w:r>
      <w:r w:rsidR="00C627C6" w:rsidRPr="005A14CE">
        <w:rPr>
          <w:color w:val="222222"/>
          <w:sz w:val="28"/>
          <w:szCs w:val="28"/>
        </w:rPr>
        <w:t xml:space="preserve">has associated with </w:t>
      </w:r>
      <w:r w:rsidR="00176941" w:rsidRPr="005A14CE">
        <w:rPr>
          <w:color w:val="222222"/>
          <w:sz w:val="28"/>
          <w:szCs w:val="28"/>
        </w:rPr>
        <w:t>Government and Non-Government agencies in the United States, Canada, India, Australia, China, United Arab Emirates, Panam</w:t>
      </w:r>
      <w:r w:rsidR="00710D58" w:rsidRPr="005A14CE">
        <w:rPr>
          <w:color w:val="222222"/>
          <w:sz w:val="28"/>
          <w:szCs w:val="28"/>
        </w:rPr>
        <w:t>a, Mexico, Kenya and Mauritius, in planning field.</w:t>
      </w:r>
    </w:p>
    <w:p w:rsidR="00075B5B" w:rsidRPr="005A14CE" w:rsidRDefault="00075B5B" w:rsidP="00075B5B">
      <w:pPr>
        <w:pStyle w:val="NormalWeb"/>
        <w:shd w:val="clear" w:color="auto" w:fill="FFFFFF"/>
        <w:spacing w:before="0" w:beforeAutospacing="0" w:after="0" w:afterAutospacing="0"/>
        <w:ind w:firstLine="720"/>
        <w:jc w:val="both"/>
        <w:textAlignment w:val="baseline"/>
        <w:rPr>
          <w:color w:val="222222"/>
          <w:sz w:val="8"/>
          <w:szCs w:val="28"/>
        </w:rPr>
      </w:pPr>
    </w:p>
    <w:p w:rsidR="00176941" w:rsidRPr="005A14CE" w:rsidRDefault="00710D58" w:rsidP="00710D58">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5A14CE">
        <w:rPr>
          <w:color w:val="222222"/>
          <w:sz w:val="28"/>
          <w:szCs w:val="28"/>
        </w:rPr>
        <w:t xml:space="preserve">The Board was also informed that </w:t>
      </w:r>
      <w:r w:rsidR="00176941" w:rsidRPr="005A14CE">
        <w:rPr>
          <w:color w:val="222222"/>
          <w:sz w:val="28"/>
          <w:szCs w:val="28"/>
        </w:rPr>
        <w:t>Arch. Bharne’s projects have received numerous awards</w:t>
      </w:r>
      <w:r w:rsidR="0017009E" w:rsidRPr="005A14CE">
        <w:rPr>
          <w:color w:val="222222"/>
          <w:sz w:val="28"/>
          <w:szCs w:val="28"/>
        </w:rPr>
        <w:t>,</w:t>
      </w:r>
      <w:r w:rsidR="00176941" w:rsidRPr="005A14CE">
        <w:rPr>
          <w:color w:val="222222"/>
          <w:sz w:val="28"/>
          <w:szCs w:val="28"/>
        </w:rPr>
        <w:t xml:space="preserve"> includ</w:t>
      </w:r>
      <w:r w:rsidRPr="005A14CE">
        <w:rPr>
          <w:color w:val="222222"/>
          <w:sz w:val="28"/>
          <w:szCs w:val="28"/>
        </w:rPr>
        <w:t>ing</w:t>
      </w:r>
      <w:r w:rsidR="00176941" w:rsidRPr="005A14CE">
        <w:rPr>
          <w:color w:val="222222"/>
          <w:sz w:val="28"/>
          <w:szCs w:val="28"/>
        </w:rPr>
        <w:t xml:space="preserve"> the following: </w:t>
      </w:r>
    </w:p>
    <w:p w:rsidR="00176941" w:rsidRPr="005A14CE" w:rsidRDefault="00176941" w:rsidP="00176941">
      <w:pPr>
        <w:pStyle w:val="NormalWeb"/>
        <w:numPr>
          <w:ilvl w:val="0"/>
          <w:numId w:val="2"/>
        </w:numPr>
        <w:shd w:val="clear" w:color="auto" w:fill="FFFFFF"/>
        <w:spacing w:before="0" w:beforeAutospacing="0" w:after="0" w:afterAutospacing="0" w:line="413" w:lineRule="atLeast"/>
        <w:jc w:val="both"/>
        <w:textAlignment w:val="baseline"/>
        <w:rPr>
          <w:color w:val="222222"/>
          <w:sz w:val="28"/>
          <w:szCs w:val="28"/>
        </w:rPr>
      </w:pPr>
      <w:r w:rsidRPr="005A14CE">
        <w:rPr>
          <w:color w:val="222222"/>
          <w:sz w:val="28"/>
          <w:szCs w:val="28"/>
        </w:rPr>
        <w:t xml:space="preserve">The 2013 National Award for Smart Growth Achievement - Overall Excellence by the United States Environmental Protection Agency; </w:t>
      </w:r>
    </w:p>
    <w:p w:rsidR="00176941" w:rsidRPr="005A14CE" w:rsidRDefault="00176941" w:rsidP="00176941">
      <w:pPr>
        <w:pStyle w:val="NormalWeb"/>
        <w:numPr>
          <w:ilvl w:val="0"/>
          <w:numId w:val="2"/>
        </w:numPr>
        <w:shd w:val="clear" w:color="auto" w:fill="FFFFFF"/>
        <w:spacing w:before="0" w:beforeAutospacing="0" w:after="0" w:afterAutospacing="0" w:line="413" w:lineRule="atLeast"/>
        <w:jc w:val="both"/>
        <w:textAlignment w:val="baseline"/>
        <w:rPr>
          <w:color w:val="222222"/>
          <w:sz w:val="28"/>
          <w:szCs w:val="28"/>
        </w:rPr>
      </w:pPr>
      <w:r w:rsidRPr="005A14CE">
        <w:rPr>
          <w:color w:val="222222"/>
          <w:sz w:val="28"/>
          <w:szCs w:val="28"/>
        </w:rPr>
        <w:t xml:space="preserve">The 2013 Pinnacle Award from the International Downtown Association; </w:t>
      </w:r>
    </w:p>
    <w:p w:rsidR="00176941" w:rsidRPr="005A14CE" w:rsidRDefault="00176941" w:rsidP="00176941">
      <w:pPr>
        <w:pStyle w:val="NormalWeb"/>
        <w:numPr>
          <w:ilvl w:val="0"/>
          <w:numId w:val="2"/>
        </w:numPr>
        <w:shd w:val="clear" w:color="auto" w:fill="FFFFFF"/>
        <w:spacing w:before="0" w:beforeAutospacing="0" w:after="0" w:afterAutospacing="0" w:line="413" w:lineRule="atLeast"/>
        <w:jc w:val="both"/>
        <w:textAlignment w:val="baseline"/>
        <w:rPr>
          <w:color w:val="222222"/>
          <w:sz w:val="28"/>
          <w:szCs w:val="28"/>
        </w:rPr>
      </w:pPr>
      <w:r w:rsidRPr="005A14CE">
        <w:rPr>
          <w:color w:val="222222"/>
          <w:sz w:val="28"/>
          <w:szCs w:val="28"/>
        </w:rPr>
        <w:t>The Excellence in Planning Implementation Award from the California Chapter of the American Planning Association.</w:t>
      </w:r>
    </w:p>
    <w:p w:rsidR="00176941" w:rsidRPr="005A14CE" w:rsidRDefault="00176941" w:rsidP="00176941">
      <w:pPr>
        <w:pStyle w:val="NormalWeb"/>
        <w:shd w:val="clear" w:color="auto" w:fill="FFFFFF"/>
        <w:spacing w:before="0" w:beforeAutospacing="0" w:after="0" w:afterAutospacing="0" w:line="413" w:lineRule="atLeast"/>
        <w:textAlignment w:val="baseline"/>
        <w:rPr>
          <w:color w:val="222222"/>
          <w:sz w:val="28"/>
          <w:szCs w:val="28"/>
        </w:rPr>
      </w:pPr>
    </w:p>
    <w:p w:rsidR="009E77EE" w:rsidRPr="005A14CE" w:rsidRDefault="00710D58" w:rsidP="00176941">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5A14CE">
        <w:rPr>
          <w:color w:val="222222"/>
          <w:sz w:val="28"/>
          <w:szCs w:val="28"/>
        </w:rPr>
        <w:t xml:space="preserve">The Board was also informed that </w:t>
      </w:r>
      <w:r w:rsidR="00176941" w:rsidRPr="005A14CE">
        <w:rPr>
          <w:color w:val="222222"/>
          <w:sz w:val="28"/>
          <w:szCs w:val="28"/>
        </w:rPr>
        <w:t>Arch. Vinayak Bharne is also an Adjunct Professor of Urbanism in the School of Architecture at the University of Southern California, and Director of the India-Netherlands-based think tank, My Livab</w:t>
      </w:r>
      <w:r w:rsidR="009E77EE" w:rsidRPr="005A14CE">
        <w:rPr>
          <w:color w:val="222222"/>
          <w:sz w:val="28"/>
          <w:szCs w:val="28"/>
        </w:rPr>
        <w:t xml:space="preserve">le City. </w:t>
      </w:r>
    </w:p>
    <w:p w:rsidR="00075B5B" w:rsidRPr="005A14CE" w:rsidRDefault="00075B5B" w:rsidP="00075B5B">
      <w:pPr>
        <w:pStyle w:val="NormalWeb"/>
        <w:shd w:val="clear" w:color="auto" w:fill="FFFFFF"/>
        <w:spacing w:before="0" w:beforeAutospacing="0" w:after="0" w:afterAutospacing="0"/>
        <w:ind w:firstLine="720"/>
        <w:jc w:val="both"/>
        <w:textAlignment w:val="baseline"/>
        <w:rPr>
          <w:color w:val="222222"/>
          <w:sz w:val="10"/>
          <w:szCs w:val="28"/>
        </w:rPr>
      </w:pPr>
    </w:p>
    <w:p w:rsidR="00176941" w:rsidRPr="005A14CE" w:rsidRDefault="009E77EE" w:rsidP="00176941">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5A14CE">
        <w:rPr>
          <w:color w:val="222222"/>
          <w:sz w:val="28"/>
          <w:szCs w:val="28"/>
        </w:rPr>
        <w:t xml:space="preserve">Besides this achievements, </w:t>
      </w:r>
      <w:r w:rsidR="00176941" w:rsidRPr="005A14CE">
        <w:rPr>
          <w:color w:val="222222"/>
          <w:sz w:val="28"/>
          <w:szCs w:val="28"/>
        </w:rPr>
        <w:t xml:space="preserve">Arch. Vinayak Bharne </w:t>
      </w:r>
      <w:r w:rsidRPr="005A14CE">
        <w:rPr>
          <w:color w:val="222222"/>
          <w:sz w:val="28"/>
          <w:szCs w:val="28"/>
        </w:rPr>
        <w:t>has also</w:t>
      </w:r>
      <w:r w:rsidR="00176941" w:rsidRPr="005A14CE">
        <w:rPr>
          <w:color w:val="222222"/>
          <w:sz w:val="28"/>
          <w:szCs w:val="28"/>
        </w:rPr>
        <w:t xml:space="preserve"> author</w:t>
      </w:r>
      <w:r w:rsidRPr="005A14CE">
        <w:rPr>
          <w:color w:val="222222"/>
          <w:sz w:val="28"/>
          <w:szCs w:val="28"/>
        </w:rPr>
        <w:t>ed</w:t>
      </w:r>
      <w:r w:rsidR="00176941" w:rsidRPr="005A14CE">
        <w:rPr>
          <w:color w:val="222222"/>
          <w:sz w:val="28"/>
          <w:szCs w:val="28"/>
        </w:rPr>
        <w:t>/</w:t>
      </w:r>
      <w:r w:rsidRPr="005A14CE">
        <w:rPr>
          <w:color w:val="222222"/>
          <w:sz w:val="28"/>
          <w:szCs w:val="28"/>
        </w:rPr>
        <w:t>edited</w:t>
      </w:r>
      <w:r w:rsidR="00176941" w:rsidRPr="005A14CE">
        <w:rPr>
          <w:color w:val="222222"/>
          <w:sz w:val="28"/>
          <w:szCs w:val="28"/>
        </w:rPr>
        <w:t xml:space="preserve"> eight books including </w:t>
      </w:r>
      <w:hyperlink r:id="rId8" w:tgtFrame="_blank" w:history="1">
        <w:r w:rsidR="00176941" w:rsidRPr="005A14CE">
          <w:rPr>
            <w:rStyle w:val="Emphasis"/>
            <w:color w:val="000000"/>
            <w:sz w:val="28"/>
            <w:szCs w:val="28"/>
            <w:bdr w:val="none" w:sz="0" w:space="0" w:color="auto" w:frame="1"/>
          </w:rPr>
          <w:t>Urbanism Beyond 2020</w:t>
        </w:r>
      </w:hyperlink>
      <w:r w:rsidR="00176941" w:rsidRPr="005A14CE">
        <w:rPr>
          <w:rStyle w:val="Emphasis"/>
          <w:color w:val="222222"/>
          <w:sz w:val="28"/>
          <w:szCs w:val="28"/>
          <w:bdr w:val="none" w:sz="0" w:space="0" w:color="auto" w:frame="1"/>
        </w:rPr>
        <w:t>: Reflections during the COVID-19 Pandemic;</w:t>
      </w:r>
      <w:r w:rsidR="00176941" w:rsidRPr="005A14CE">
        <w:rPr>
          <w:i/>
          <w:color w:val="222222"/>
          <w:sz w:val="28"/>
          <w:szCs w:val="28"/>
        </w:rPr>
        <w:t xml:space="preserve"> </w:t>
      </w:r>
      <w:hyperlink r:id="rId9" w:tgtFrame="_blank" w:history="1">
        <w:r w:rsidR="00176941" w:rsidRPr="005A14CE">
          <w:rPr>
            <w:rStyle w:val="Emphasis"/>
            <w:color w:val="000000"/>
            <w:sz w:val="28"/>
            <w:szCs w:val="28"/>
            <w:bdr w:val="none" w:sz="0" w:space="0" w:color="auto" w:frame="1"/>
          </w:rPr>
          <w:t>Affordable Housing, Inclusive Cities</w:t>
        </w:r>
      </w:hyperlink>
      <w:r w:rsidR="00176941" w:rsidRPr="005A14CE">
        <w:rPr>
          <w:i/>
          <w:iCs/>
          <w:color w:val="222222"/>
          <w:sz w:val="28"/>
          <w:szCs w:val="28"/>
        </w:rPr>
        <w:t xml:space="preserve">; </w:t>
      </w:r>
      <w:r w:rsidR="00176941" w:rsidRPr="005A14CE">
        <w:rPr>
          <w:i/>
          <w:color w:val="222222"/>
          <w:sz w:val="28"/>
          <w:szCs w:val="28"/>
        </w:rPr>
        <w:t xml:space="preserve">and </w:t>
      </w:r>
      <w:r w:rsidR="00176941" w:rsidRPr="005A14CE">
        <w:rPr>
          <w:rStyle w:val="Emphasis"/>
          <w:color w:val="222222"/>
          <w:sz w:val="28"/>
          <w:szCs w:val="28"/>
          <w:bdr w:val="none" w:sz="0" w:space="0" w:color="auto" w:frame="1"/>
        </w:rPr>
        <w:t>Streets for All: 50 Ideas for Shaping Resilient Cities</w:t>
      </w:r>
      <w:r w:rsidRPr="005A14CE">
        <w:rPr>
          <w:rStyle w:val="Emphasis"/>
          <w:color w:val="222222"/>
          <w:sz w:val="28"/>
          <w:szCs w:val="28"/>
          <w:bdr w:val="none" w:sz="0" w:space="0" w:color="auto" w:frame="1"/>
        </w:rPr>
        <w:t xml:space="preserve"> and </w:t>
      </w:r>
      <w:r w:rsidR="00176941" w:rsidRPr="005A14CE">
        <w:rPr>
          <w:color w:val="222222"/>
          <w:sz w:val="28"/>
          <w:szCs w:val="28"/>
        </w:rPr>
        <w:t>has also featured as a thought leader in the field of urbanism by World Architecture News in 2013 and currently serves on the International Speakers Bureau of the Intelligence Community Forum in Canada, and an advisor to several international think</w:t>
      </w:r>
      <w:r w:rsidRPr="005A14CE">
        <w:rPr>
          <w:color w:val="222222"/>
          <w:sz w:val="28"/>
          <w:szCs w:val="28"/>
        </w:rPr>
        <w:t xml:space="preserve">-tanks such as CUSP-India, </w:t>
      </w:r>
      <w:r w:rsidR="00176941" w:rsidRPr="005A14CE">
        <w:rPr>
          <w:color w:val="222222"/>
          <w:sz w:val="28"/>
          <w:szCs w:val="28"/>
        </w:rPr>
        <w:t xml:space="preserve"> </w:t>
      </w:r>
      <w:r w:rsidR="00FA4505" w:rsidRPr="005A14CE">
        <w:rPr>
          <w:color w:val="222222"/>
          <w:sz w:val="28"/>
          <w:szCs w:val="28"/>
        </w:rPr>
        <w:t xml:space="preserve">and U </w:t>
      </w:r>
      <w:r w:rsidR="00176941" w:rsidRPr="005A14CE">
        <w:rPr>
          <w:color w:val="222222"/>
          <w:sz w:val="28"/>
          <w:szCs w:val="28"/>
        </w:rPr>
        <w:t>for Urban Impact in Egypt.</w:t>
      </w:r>
      <w:r w:rsidR="00FA4505" w:rsidRPr="005A14CE">
        <w:rPr>
          <w:color w:val="222222"/>
          <w:sz w:val="28"/>
          <w:szCs w:val="28"/>
        </w:rPr>
        <w:t xml:space="preserve"> </w:t>
      </w:r>
    </w:p>
    <w:p w:rsidR="00176941" w:rsidRPr="005A14CE" w:rsidRDefault="009E77EE" w:rsidP="00176941">
      <w:pPr>
        <w:pStyle w:val="ListParagraph"/>
        <w:spacing w:after="200" w:line="360" w:lineRule="auto"/>
        <w:ind w:left="0" w:firstLine="720"/>
        <w:jc w:val="both"/>
        <w:rPr>
          <w:sz w:val="28"/>
          <w:szCs w:val="28"/>
        </w:rPr>
      </w:pPr>
      <w:r w:rsidRPr="005A14CE">
        <w:rPr>
          <w:sz w:val="28"/>
          <w:szCs w:val="28"/>
        </w:rPr>
        <w:t>Member Secretary further informed that d</w:t>
      </w:r>
      <w:r w:rsidR="00176941" w:rsidRPr="005A14CE">
        <w:rPr>
          <w:sz w:val="28"/>
          <w:szCs w:val="28"/>
        </w:rPr>
        <w:t xml:space="preserve">uring his recent visit to Goa, Arch. Bharne has had interaction with various professionals and institutions in the field of Architecture, Urban Design, Town Planning and Builders Association.  Being a Goan, </w:t>
      </w:r>
      <w:r w:rsidRPr="005A14CE">
        <w:rPr>
          <w:sz w:val="28"/>
          <w:szCs w:val="28"/>
        </w:rPr>
        <w:t xml:space="preserve">Arch. Bharne </w:t>
      </w:r>
      <w:r w:rsidR="00176941" w:rsidRPr="005A14CE">
        <w:rPr>
          <w:sz w:val="28"/>
          <w:szCs w:val="28"/>
        </w:rPr>
        <w:t xml:space="preserve">has a vast knowledge of the planning scenario in Goa and </w:t>
      </w:r>
      <w:r w:rsidRPr="005A14CE">
        <w:rPr>
          <w:sz w:val="28"/>
          <w:szCs w:val="28"/>
        </w:rPr>
        <w:t xml:space="preserve">has </w:t>
      </w:r>
      <w:r w:rsidR="00176941" w:rsidRPr="005A14CE">
        <w:rPr>
          <w:sz w:val="28"/>
          <w:szCs w:val="28"/>
        </w:rPr>
        <w:t xml:space="preserve">expressed to share his knowledge and </w:t>
      </w:r>
      <w:r w:rsidR="00176941" w:rsidRPr="005A14CE">
        <w:rPr>
          <w:sz w:val="28"/>
          <w:szCs w:val="28"/>
        </w:rPr>
        <w:lastRenderedPageBreak/>
        <w:t xml:space="preserve">experience in the planning field for the benefit of Goa.  Arch. Bharne has also expressed his desire to associate with the planning institutions to guide and exchange his ideas.  </w:t>
      </w:r>
    </w:p>
    <w:p w:rsidR="00176941" w:rsidRPr="005A14CE" w:rsidRDefault="00176941" w:rsidP="00176941">
      <w:pPr>
        <w:pStyle w:val="ListParagraph"/>
        <w:spacing w:after="200"/>
        <w:ind w:left="0" w:firstLine="720"/>
        <w:jc w:val="both"/>
        <w:rPr>
          <w:sz w:val="8"/>
          <w:szCs w:val="28"/>
        </w:rPr>
      </w:pPr>
    </w:p>
    <w:p w:rsidR="00176941" w:rsidRPr="005A14CE" w:rsidRDefault="00176941" w:rsidP="00994E92">
      <w:pPr>
        <w:pStyle w:val="ListParagraph"/>
        <w:spacing w:after="200" w:line="360" w:lineRule="auto"/>
        <w:ind w:left="0" w:firstLine="720"/>
        <w:jc w:val="both"/>
        <w:rPr>
          <w:color w:val="222222"/>
          <w:sz w:val="28"/>
          <w:szCs w:val="28"/>
        </w:rPr>
      </w:pPr>
      <w:r w:rsidRPr="005A14CE">
        <w:rPr>
          <w:sz w:val="28"/>
          <w:szCs w:val="28"/>
        </w:rPr>
        <w:t xml:space="preserve">The Board </w:t>
      </w:r>
      <w:r w:rsidR="00FA4505" w:rsidRPr="005A14CE">
        <w:rPr>
          <w:sz w:val="28"/>
          <w:szCs w:val="28"/>
        </w:rPr>
        <w:t>deliberated on the ri</w:t>
      </w:r>
      <w:r w:rsidR="009E77EE" w:rsidRPr="005A14CE">
        <w:rPr>
          <w:sz w:val="28"/>
          <w:szCs w:val="28"/>
        </w:rPr>
        <w:t xml:space="preserve">ch experience of Arch. Bharne and </w:t>
      </w:r>
      <w:r w:rsidR="0017009E" w:rsidRPr="005A14CE">
        <w:rPr>
          <w:sz w:val="28"/>
          <w:szCs w:val="28"/>
        </w:rPr>
        <w:t xml:space="preserve">took into consideration  </w:t>
      </w:r>
      <w:r w:rsidR="009E77EE" w:rsidRPr="005A14CE">
        <w:rPr>
          <w:sz w:val="28"/>
          <w:szCs w:val="28"/>
        </w:rPr>
        <w:t xml:space="preserve">that it </w:t>
      </w:r>
      <w:r w:rsidRPr="005A14CE">
        <w:rPr>
          <w:sz w:val="28"/>
          <w:szCs w:val="28"/>
        </w:rPr>
        <w:t xml:space="preserve">has already </w:t>
      </w:r>
      <w:r w:rsidR="009E77EE" w:rsidRPr="005A14CE">
        <w:rPr>
          <w:sz w:val="28"/>
          <w:szCs w:val="28"/>
        </w:rPr>
        <w:t>recommended</w:t>
      </w:r>
      <w:r w:rsidRPr="005A14CE">
        <w:rPr>
          <w:sz w:val="28"/>
          <w:szCs w:val="28"/>
        </w:rPr>
        <w:t xml:space="preserve"> to </w:t>
      </w:r>
      <w:r w:rsidR="0017009E" w:rsidRPr="005A14CE">
        <w:rPr>
          <w:sz w:val="28"/>
          <w:szCs w:val="28"/>
        </w:rPr>
        <w:t xml:space="preserve">obtain </w:t>
      </w:r>
      <w:r w:rsidRPr="005A14CE">
        <w:rPr>
          <w:sz w:val="28"/>
          <w:szCs w:val="28"/>
        </w:rPr>
        <w:t xml:space="preserve"> services of various consultants/experts in the field of Planning</w:t>
      </w:r>
      <w:r w:rsidR="0017009E" w:rsidRPr="005A14CE">
        <w:rPr>
          <w:sz w:val="28"/>
          <w:szCs w:val="28"/>
        </w:rPr>
        <w:t xml:space="preserve"> and hence </w:t>
      </w:r>
      <w:r w:rsidR="009E77EE" w:rsidRPr="005A14CE">
        <w:rPr>
          <w:sz w:val="28"/>
          <w:szCs w:val="28"/>
        </w:rPr>
        <w:t xml:space="preserve">it would </w:t>
      </w:r>
      <w:r w:rsidR="0017009E" w:rsidRPr="005A14CE">
        <w:rPr>
          <w:sz w:val="28"/>
          <w:szCs w:val="28"/>
        </w:rPr>
        <w:t xml:space="preserve">also </w:t>
      </w:r>
      <w:r w:rsidR="009E77EE" w:rsidRPr="005A14CE">
        <w:rPr>
          <w:sz w:val="28"/>
          <w:szCs w:val="28"/>
        </w:rPr>
        <w:t xml:space="preserve">be </w:t>
      </w:r>
      <w:r w:rsidR="0017009E" w:rsidRPr="005A14CE">
        <w:rPr>
          <w:sz w:val="28"/>
          <w:szCs w:val="28"/>
        </w:rPr>
        <w:t xml:space="preserve">most appropriate </w:t>
      </w:r>
      <w:r w:rsidR="009E77EE" w:rsidRPr="005A14CE">
        <w:rPr>
          <w:sz w:val="28"/>
          <w:szCs w:val="28"/>
        </w:rPr>
        <w:t>to have</w:t>
      </w:r>
      <w:r w:rsidRPr="005A14CE">
        <w:rPr>
          <w:sz w:val="28"/>
          <w:szCs w:val="28"/>
        </w:rPr>
        <w:t xml:space="preserve"> association with </w:t>
      </w:r>
      <w:r w:rsidRPr="005A14CE">
        <w:rPr>
          <w:color w:val="222222"/>
          <w:sz w:val="28"/>
          <w:szCs w:val="28"/>
        </w:rPr>
        <w:t>Arch. Vinayak Bharne as a honorary member of the Board, such that his inputs can be obtained during various planning exercise</w:t>
      </w:r>
      <w:r w:rsidR="0017009E" w:rsidRPr="005A14CE">
        <w:rPr>
          <w:color w:val="222222"/>
          <w:sz w:val="28"/>
          <w:szCs w:val="28"/>
        </w:rPr>
        <w:t>s</w:t>
      </w:r>
      <w:r w:rsidRPr="005A14CE">
        <w:rPr>
          <w:color w:val="222222"/>
          <w:sz w:val="28"/>
          <w:szCs w:val="28"/>
        </w:rPr>
        <w:t xml:space="preserve"> undertaken by the TCP Dept., including that for preparation of ODPs</w:t>
      </w:r>
      <w:r w:rsidR="009E77EE" w:rsidRPr="005A14CE">
        <w:rPr>
          <w:color w:val="222222"/>
          <w:sz w:val="28"/>
          <w:szCs w:val="28"/>
        </w:rPr>
        <w:t>, Zoning Plan</w:t>
      </w:r>
      <w:r w:rsidR="00994E92" w:rsidRPr="005A14CE">
        <w:rPr>
          <w:color w:val="222222"/>
          <w:sz w:val="28"/>
          <w:szCs w:val="28"/>
        </w:rPr>
        <w:t xml:space="preserve"> and formulating policies for TDR, transport oriented corridors, CBDs with </w:t>
      </w:r>
      <w:r w:rsidRPr="005A14CE">
        <w:rPr>
          <w:color w:val="222222"/>
          <w:sz w:val="28"/>
          <w:szCs w:val="28"/>
        </w:rPr>
        <w:t>higher FAR, etc.</w:t>
      </w:r>
    </w:p>
    <w:p w:rsidR="00176941" w:rsidRPr="005A14CE" w:rsidRDefault="00176941" w:rsidP="00176941">
      <w:pPr>
        <w:pStyle w:val="ListParagraph"/>
        <w:spacing w:after="200"/>
        <w:ind w:left="0" w:firstLine="720"/>
        <w:jc w:val="both"/>
        <w:rPr>
          <w:color w:val="222222"/>
          <w:sz w:val="10"/>
          <w:szCs w:val="28"/>
        </w:rPr>
      </w:pPr>
    </w:p>
    <w:p w:rsidR="00176941" w:rsidRPr="005A14CE" w:rsidRDefault="00176941" w:rsidP="00176941">
      <w:pPr>
        <w:pStyle w:val="ListParagraph"/>
        <w:spacing w:after="200" w:line="360" w:lineRule="auto"/>
        <w:ind w:left="0" w:firstLine="720"/>
        <w:jc w:val="both"/>
        <w:rPr>
          <w:sz w:val="28"/>
          <w:szCs w:val="28"/>
        </w:rPr>
      </w:pPr>
      <w:r w:rsidRPr="005A14CE">
        <w:rPr>
          <w:color w:val="222222"/>
          <w:sz w:val="28"/>
          <w:szCs w:val="28"/>
        </w:rPr>
        <w:t xml:space="preserve">The Board </w:t>
      </w:r>
      <w:r w:rsidR="00994E92" w:rsidRPr="005A14CE">
        <w:rPr>
          <w:color w:val="222222"/>
          <w:sz w:val="28"/>
          <w:szCs w:val="28"/>
        </w:rPr>
        <w:t>therefor</w:t>
      </w:r>
      <w:r w:rsidR="0017009E" w:rsidRPr="005A14CE">
        <w:rPr>
          <w:color w:val="222222"/>
          <w:sz w:val="28"/>
          <w:szCs w:val="28"/>
        </w:rPr>
        <w:t>e</w:t>
      </w:r>
      <w:r w:rsidR="00994E92" w:rsidRPr="005A14CE">
        <w:rPr>
          <w:color w:val="222222"/>
          <w:sz w:val="28"/>
          <w:szCs w:val="28"/>
        </w:rPr>
        <w:t xml:space="preserve"> unanimously agreed to engage services of Arch. Bharne as a honorary member of the Board.</w:t>
      </w:r>
    </w:p>
    <w:p w:rsidR="00176941" w:rsidRPr="005A14CE" w:rsidRDefault="00176941" w:rsidP="00176941">
      <w:pPr>
        <w:pStyle w:val="ListParagraph"/>
        <w:spacing w:after="200"/>
        <w:ind w:left="0"/>
        <w:jc w:val="both"/>
        <w:rPr>
          <w:b/>
          <w:sz w:val="28"/>
          <w:szCs w:val="28"/>
        </w:rPr>
      </w:pPr>
    </w:p>
    <w:p w:rsidR="00176941" w:rsidRPr="005A14CE" w:rsidRDefault="00176941" w:rsidP="00176941">
      <w:pPr>
        <w:spacing w:line="240" w:lineRule="auto"/>
        <w:jc w:val="both"/>
        <w:rPr>
          <w:rFonts w:ascii="Times New Roman" w:hAnsi="Times New Roman" w:cs="Times New Roman"/>
          <w:b/>
          <w:sz w:val="28"/>
          <w:szCs w:val="28"/>
        </w:rPr>
      </w:pPr>
      <w:r w:rsidRPr="005A14CE">
        <w:rPr>
          <w:rFonts w:ascii="Times New Roman" w:hAnsi="Times New Roman" w:cs="Times New Roman"/>
          <w:b/>
          <w:sz w:val="28"/>
          <w:szCs w:val="28"/>
        </w:rPr>
        <w:t>Item No. 11:  Decision on proposals considered in 36</w:t>
      </w:r>
      <w:r w:rsidRPr="005A14CE">
        <w:rPr>
          <w:rFonts w:ascii="Times New Roman" w:hAnsi="Times New Roman" w:cs="Times New Roman"/>
          <w:b/>
          <w:sz w:val="28"/>
          <w:szCs w:val="28"/>
          <w:vertAlign w:val="superscript"/>
        </w:rPr>
        <w:t xml:space="preserve">th </w:t>
      </w:r>
      <w:r w:rsidRPr="005A14CE">
        <w:rPr>
          <w:rFonts w:ascii="Times New Roman" w:hAnsi="Times New Roman" w:cs="Times New Roman"/>
          <w:b/>
          <w:sz w:val="28"/>
          <w:szCs w:val="28"/>
        </w:rPr>
        <w:t>meeting of the 16-A Committee, constituted under sub-rule 4 of Rule 3 of the Goa Town &amp; Country Planning (Public Projects/Schemes/Development work by the Government) Rules - 2008 held on 02/08/2022.</w:t>
      </w:r>
    </w:p>
    <w:p w:rsidR="00E1152A" w:rsidRPr="005A14CE" w:rsidRDefault="00E1152A" w:rsidP="00E1152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sidRPr="005A14CE">
        <w:rPr>
          <w:rFonts w:ascii="Times New Roman" w:hAnsi="Times New Roman" w:cs="Times New Roman"/>
          <w:color w:val="000000" w:themeColor="text1"/>
          <w:sz w:val="28"/>
          <w:szCs w:val="28"/>
        </w:rPr>
        <w:t>The Member Secretary submitted that proposals as referred  in Annexure ‘A’ were considered by the Committee constituted under sub rule 4 of Rule 3 of the Goa Town &amp; Country Planning (Public Projects/Schemes/Development work by the Government) Rules – 2008 in its 3</w:t>
      </w:r>
      <w:r w:rsidR="00AB3981" w:rsidRPr="005A14CE">
        <w:rPr>
          <w:rFonts w:ascii="Times New Roman" w:hAnsi="Times New Roman" w:cs="Times New Roman"/>
          <w:color w:val="000000" w:themeColor="text1"/>
          <w:sz w:val="28"/>
          <w:szCs w:val="28"/>
        </w:rPr>
        <w:t>6</w:t>
      </w:r>
      <w:r w:rsidRPr="005A14CE">
        <w:rPr>
          <w:rFonts w:ascii="Times New Roman" w:hAnsi="Times New Roman" w:cs="Times New Roman"/>
          <w:color w:val="000000" w:themeColor="text1"/>
          <w:sz w:val="28"/>
          <w:szCs w:val="28"/>
          <w:vertAlign w:val="superscript"/>
        </w:rPr>
        <w:t>th</w:t>
      </w:r>
      <w:r w:rsidRPr="005A14CE">
        <w:rPr>
          <w:rFonts w:ascii="Times New Roman" w:hAnsi="Times New Roman" w:cs="Times New Roman"/>
          <w:color w:val="000000" w:themeColor="text1"/>
          <w:sz w:val="28"/>
          <w:szCs w:val="28"/>
        </w:rPr>
        <w:t xml:space="preserve"> meeting held on 0</w:t>
      </w:r>
      <w:r w:rsidR="00AB3981" w:rsidRPr="005A14CE">
        <w:rPr>
          <w:rFonts w:ascii="Times New Roman" w:hAnsi="Times New Roman" w:cs="Times New Roman"/>
          <w:color w:val="000000" w:themeColor="text1"/>
          <w:sz w:val="28"/>
          <w:szCs w:val="28"/>
        </w:rPr>
        <w:t>2</w:t>
      </w:r>
      <w:r w:rsidRPr="005A14CE">
        <w:rPr>
          <w:rFonts w:ascii="Times New Roman" w:hAnsi="Times New Roman" w:cs="Times New Roman"/>
          <w:color w:val="000000" w:themeColor="text1"/>
          <w:sz w:val="28"/>
          <w:szCs w:val="28"/>
        </w:rPr>
        <w:t>/0</w:t>
      </w:r>
      <w:r w:rsidR="00AB3981" w:rsidRPr="005A14CE">
        <w:rPr>
          <w:rFonts w:ascii="Times New Roman" w:hAnsi="Times New Roman" w:cs="Times New Roman"/>
          <w:color w:val="000000" w:themeColor="text1"/>
          <w:sz w:val="28"/>
          <w:szCs w:val="28"/>
        </w:rPr>
        <w:t>8</w:t>
      </w:r>
      <w:r w:rsidRPr="005A14CE">
        <w:rPr>
          <w:rFonts w:ascii="Times New Roman" w:hAnsi="Times New Roman" w:cs="Times New Roman"/>
          <w:color w:val="000000" w:themeColor="text1"/>
          <w:sz w:val="28"/>
          <w:szCs w:val="28"/>
        </w:rPr>
        <w:t>/202</w:t>
      </w:r>
      <w:r w:rsidR="00AB3981" w:rsidRPr="005A14CE">
        <w:rPr>
          <w:rFonts w:ascii="Times New Roman" w:hAnsi="Times New Roman" w:cs="Times New Roman"/>
          <w:color w:val="000000" w:themeColor="text1"/>
          <w:sz w:val="28"/>
          <w:szCs w:val="28"/>
        </w:rPr>
        <w:t>2</w:t>
      </w:r>
      <w:r w:rsidRPr="005A14CE">
        <w:rPr>
          <w:rFonts w:ascii="Times New Roman" w:hAnsi="Times New Roman" w:cs="Times New Roman"/>
          <w:color w:val="000000" w:themeColor="text1"/>
          <w:sz w:val="28"/>
          <w:szCs w:val="28"/>
        </w:rPr>
        <w:t>.  The same proposals were placed before the Board for its consideration.</w:t>
      </w:r>
    </w:p>
    <w:p w:rsidR="00E1152A" w:rsidRPr="005A14CE" w:rsidRDefault="00E1152A" w:rsidP="00E1152A">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after deliberation recommended the proposals as listed in       Annexure ‘A’.</w:t>
      </w:r>
    </w:p>
    <w:p w:rsidR="00176941" w:rsidRPr="005A14CE" w:rsidRDefault="00176941" w:rsidP="00176941">
      <w:pPr>
        <w:pStyle w:val="ListParagraph"/>
        <w:spacing w:after="200"/>
        <w:ind w:hanging="720"/>
        <w:jc w:val="both"/>
        <w:rPr>
          <w:b/>
          <w:sz w:val="22"/>
          <w:szCs w:val="28"/>
        </w:rPr>
      </w:pPr>
    </w:p>
    <w:p w:rsidR="00994E92" w:rsidRPr="000E4B47" w:rsidRDefault="00994E92" w:rsidP="00176941">
      <w:pPr>
        <w:pStyle w:val="ListParagraph"/>
        <w:spacing w:after="200"/>
        <w:ind w:hanging="720"/>
        <w:jc w:val="both"/>
        <w:rPr>
          <w:b/>
          <w:sz w:val="22"/>
          <w:szCs w:val="28"/>
        </w:rPr>
      </w:pPr>
    </w:p>
    <w:p w:rsidR="00176941" w:rsidRPr="005A14CE" w:rsidRDefault="00176941" w:rsidP="00176941">
      <w:pPr>
        <w:pStyle w:val="ListParagraph"/>
        <w:spacing w:after="200"/>
        <w:ind w:hanging="720"/>
        <w:jc w:val="both"/>
        <w:rPr>
          <w:b/>
          <w:sz w:val="28"/>
          <w:szCs w:val="28"/>
        </w:rPr>
      </w:pPr>
      <w:r w:rsidRPr="005A14CE">
        <w:rPr>
          <w:b/>
          <w:sz w:val="28"/>
          <w:szCs w:val="28"/>
        </w:rPr>
        <w:t>Item No. 12: Regarding transfer policy guidelines.</w:t>
      </w:r>
    </w:p>
    <w:p w:rsidR="00176941" w:rsidRPr="005A14CE" w:rsidRDefault="00176941" w:rsidP="00176941">
      <w:pPr>
        <w:pStyle w:val="ListParagraph"/>
        <w:spacing w:after="200"/>
        <w:ind w:hanging="720"/>
        <w:jc w:val="both"/>
        <w:rPr>
          <w:b/>
          <w:sz w:val="28"/>
          <w:szCs w:val="28"/>
        </w:rPr>
      </w:pPr>
    </w:p>
    <w:p w:rsidR="00176941" w:rsidRPr="005A14CE" w:rsidRDefault="005B313D" w:rsidP="00176941">
      <w:pPr>
        <w:pStyle w:val="ListParagraph"/>
        <w:spacing w:after="200" w:line="360" w:lineRule="auto"/>
        <w:ind w:left="0" w:firstLine="720"/>
        <w:jc w:val="both"/>
        <w:rPr>
          <w:sz w:val="28"/>
          <w:szCs w:val="28"/>
        </w:rPr>
      </w:pPr>
      <w:r w:rsidRPr="005A14CE">
        <w:rPr>
          <w:sz w:val="28"/>
          <w:szCs w:val="28"/>
        </w:rPr>
        <w:t xml:space="preserve">Member </w:t>
      </w:r>
      <w:r w:rsidR="00994E92" w:rsidRPr="005A14CE">
        <w:rPr>
          <w:sz w:val="28"/>
          <w:szCs w:val="28"/>
        </w:rPr>
        <w:t>S</w:t>
      </w:r>
      <w:r w:rsidRPr="005A14CE">
        <w:rPr>
          <w:sz w:val="28"/>
          <w:szCs w:val="28"/>
        </w:rPr>
        <w:t>ecretary informed that t</w:t>
      </w:r>
      <w:r w:rsidR="00176941" w:rsidRPr="005A14CE">
        <w:rPr>
          <w:sz w:val="28"/>
          <w:szCs w:val="28"/>
        </w:rPr>
        <w:t>he Government of Goa has issued transfer policy guidelines from time to time</w:t>
      </w:r>
      <w:r w:rsidR="00994E92" w:rsidRPr="005A14CE">
        <w:rPr>
          <w:sz w:val="28"/>
          <w:szCs w:val="28"/>
        </w:rPr>
        <w:t xml:space="preserve"> and has issued </w:t>
      </w:r>
      <w:r w:rsidR="00176941" w:rsidRPr="005A14CE">
        <w:rPr>
          <w:sz w:val="28"/>
          <w:szCs w:val="28"/>
        </w:rPr>
        <w:t>office Memorandum dated 1</w:t>
      </w:r>
      <w:r w:rsidR="00176941" w:rsidRPr="005A14CE">
        <w:rPr>
          <w:sz w:val="28"/>
          <w:szCs w:val="28"/>
          <w:vertAlign w:val="superscript"/>
        </w:rPr>
        <w:t>st</w:t>
      </w:r>
      <w:r w:rsidR="00176941" w:rsidRPr="005A14CE">
        <w:rPr>
          <w:sz w:val="28"/>
          <w:szCs w:val="28"/>
        </w:rPr>
        <w:t xml:space="preserve"> April, 1993</w:t>
      </w:r>
      <w:r w:rsidR="0017009E" w:rsidRPr="005A14CE">
        <w:rPr>
          <w:sz w:val="28"/>
          <w:szCs w:val="28"/>
        </w:rPr>
        <w:t>,</w:t>
      </w:r>
      <w:r w:rsidR="00176941" w:rsidRPr="005A14CE">
        <w:rPr>
          <w:sz w:val="28"/>
          <w:szCs w:val="28"/>
        </w:rPr>
        <w:t xml:space="preserve"> </w:t>
      </w:r>
      <w:r w:rsidR="00994E92" w:rsidRPr="005A14CE">
        <w:rPr>
          <w:sz w:val="28"/>
          <w:szCs w:val="28"/>
        </w:rPr>
        <w:t xml:space="preserve">as it </w:t>
      </w:r>
      <w:r w:rsidR="00176941" w:rsidRPr="005A14CE">
        <w:rPr>
          <w:sz w:val="28"/>
          <w:szCs w:val="28"/>
        </w:rPr>
        <w:t>has been</w:t>
      </w:r>
      <w:r w:rsidR="00994E92" w:rsidRPr="005A14CE">
        <w:rPr>
          <w:sz w:val="28"/>
          <w:szCs w:val="28"/>
        </w:rPr>
        <w:t xml:space="preserve"> observed that </w:t>
      </w:r>
      <w:r w:rsidR="00176941" w:rsidRPr="005A14CE">
        <w:rPr>
          <w:sz w:val="28"/>
          <w:szCs w:val="28"/>
        </w:rPr>
        <w:t>some Departments have been issuing transfer Orders of their employees in violation of these guidelines.</w:t>
      </w:r>
    </w:p>
    <w:p w:rsidR="00D61387" w:rsidRPr="005A14CE" w:rsidRDefault="00D61387" w:rsidP="00D61387">
      <w:pPr>
        <w:pStyle w:val="ListParagraph"/>
        <w:spacing w:after="200"/>
        <w:ind w:left="0" w:firstLine="720"/>
        <w:jc w:val="both"/>
        <w:rPr>
          <w:sz w:val="10"/>
          <w:szCs w:val="28"/>
        </w:rPr>
      </w:pPr>
    </w:p>
    <w:p w:rsidR="00176941" w:rsidRPr="005A14CE" w:rsidRDefault="00176941" w:rsidP="00176941">
      <w:pPr>
        <w:pStyle w:val="ListParagraph"/>
        <w:spacing w:after="200" w:line="360" w:lineRule="auto"/>
        <w:ind w:left="0"/>
        <w:jc w:val="both"/>
        <w:rPr>
          <w:sz w:val="28"/>
          <w:szCs w:val="28"/>
        </w:rPr>
      </w:pPr>
      <w:r w:rsidRPr="005A14CE">
        <w:rPr>
          <w:sz w:val="28"/>
          <w:szCs w:val="28"/>
        </w:rPr>
        <w:lastRenderedPageBreak/>
        <w:tab/>
      </w:r>
      <w:r w:rsidR="00994E92" w:rsidRPr="005A14CE">
        <w:rPr>
          <w:sz w:val="28"/>
          <w:szCs w:val="28"/>
        </w:rPr>
        <w:t>Board was further informed that a</w:t>
      </w:r>
      <w:r w:rsidRPr="005A14CE">
        <w:rPr>
          <w:sz w:val="28"/>
          <w:szCs w:val="28"/>
        </w:rPr>
        <w:t xml:space="preserve">s per the guidelines issued by the Government, </w:t>
      </w:r>
      <w:r w:rsidR="0017009E" w:rsidRPr="005A14CE">
        <w:rPr>
          <w:sz w:val="28"/>
          <w:szCs w:val="28"/>
        </w:rPr>
        <w:t>employees</w:t>
      </w:r>
      <w:r w:rsidRPr="005A14CE">
        <w:rPr>
          <w:sz w:val="28"/>
          <w:szCs w:val="28"/>
        </w:rPr>
        <w:t xml:space="preserve"> who have completed three years in one place as on 31</w:t>
      </w:r>
      <w:r w:rsidRPr="005A14CE">
        <w:rPr>
          <w:sz w:val="28"/>
          <w:szCs w:val="28"/>
          <w:vertAlign w:val="superscript"/>
        </w:rPr>
        <w:t>st</w:t>
      </w:r>
      <w:r w:rsidRPr="005A14CE">
        <w:rPr>
          <w:sz w:val="28"/>
          <w:szCs w:val="28"/>
        </w:rPr>
        <w:t xml:space="preserve"> March should normally be transferred</w:t>
      </w:r>
      <w:r w:rsidR="00994E92" w:rsidRPr="005A14CE">
        <w:rPr>
          <w:sz w:val="28"/>
          <w:szCs w:val="28"/>
        </w:rPr>
        <w:t xml:space="preserve"> and that </w:t>
      </w:r>
      <w:r w:rsidRPr="005A14CE">
        <w:rPr>
          <w:sz w:val="28"/>
          <w:szCs w:val="28"/>
        </w:rPr>
        <w:t>Government servants</w:t>
      </w:r>
      <w:r w:rsidR="00994E92" w:rsidRPr="005A14CE">
        <w:rPr>
          <w:sz w:val="28"/>
          <w:szCs w:val="28"/>
        </w:rPr>
        <w:t>,</w:t>
      </w:r>
      <w:r w:rsidRPr="005A14CE">
        <w:rPr>
          <w:sz w:val="28"/>
          <w:szCs w:val="28"/>
        </w:rPr>
        <w:t xml:space="preserve"> who have completed four years at one place as on 31</w:t>
      </w:r>
      <w:r w:rsidRPr="005A14CE">
        <w:rPr>
          <w:sz w:val="28"/>
          <w:szCs w:val="28"/>
          <w:vertAlign w:val="superscript"/>
        </w:rPr>
        <w:t>st</w:t>
      </w:r>
      <w:r w:rsidRPr="005A14CE">
        <w:rPr>
          <w:sz w:val="28"/>
          <w:szCs w:val="28"/>
        </w:rPr>
        <w:t xml:space="preserve"> March</w:t>
      </w:r>
      <w:r w:rsidR="00994E92" w:rsidRPr="005A14CE">
        <w:rPr>
          <w:sz w:val="28"/>
          <w:szCs w:val="28"/>
        </w:rPr>
        <w:t>,</w:t>
      </w:r>
      <w:r w:rsidRPr="005A14CE">
        <w:rPr>
          <w:sz w:val="28"/>
          <w:szCs w:val="28"/>
        </w:rPr>
        <w:t xml:space="preserve"> should invariably be transferred.  </w:t>
      </w:r>
      <w:r w:rsidR="00994E92" w:rsidRPr="005A14CE">
        <w:rPr>
          <w:sz w:val="28"/>
          <w:szCs w:val="28"/>
        </w:rPr>
        <w:t xml:space="preserve">It was also informed that as per the guidelines, </w:t>
      </w:r>
      <w:r w:rsidRPr="005A14CE">
        <w:rPr>
          <w:sz w:val="28"/>
          <w:szCs w:val="28"/>
        </w:rPr>
        <w:t xml:space="preserve">no official will be transferred unless he has completed 3 years in his present post. </w:t>
      </w:r>
    </w:p>
    <w:p w:rsidR="00D61387" w:rsidRPr="005A14CE" w:rsidRDefault="00176941" w:rsidP="00176941">
      <w:pPr>
        <w:pStyle w:val="ListParagraph"/>
        <w:spacing w:after="200" w:line="360" w:lineRule="auto"/>
        <w:ind w:left="0"/>
        <w:jc w:val="both"/>
        <w:rPr>
          <w:sz w:val="28"/>
          <w:szCs w:val="28"/>
        </w:rPr>
      </w:pPr>
      <w:r w:rsidRPr="005A14CE">
        <w:rPr>
          <w:sz w:val="28"/>
          <w:szCs w:val="28"/>
        </w:rPr>
        <w:tab/>
      </w:r>
      <w:r w:rsidR="00994E92" w:rsidRPr="005A14CE">
        <w:rPr>
          <w:sz w:val="28"/>
          <w:szCs w:val="28"/>
        </w:rPr>
        <w:t xml:space="preserve">The </w:t>
      </w:r>
      <w:r w:rsidRPr="005A14CE">
        <w:rPr>
          <w:sz w:val="28"/>
          <w:szCs w:val="28"/>
        </w:rPr>
        <w:t xml:space="preserve">Office </w:t>
      </w:r>
      <w:r w:rsidR="00994E92" w:rsidRPr="005A14CE">
        <w:rPr>
          <w:sz w:val="28"/>
          <w:szCs w:val="28"/>
        </w:rPr>
        <w:t>M</w:t>
      </w:r>
      <w:r w:rsidRPr="005A14CE">
        <w:rPr>
          <w:sz w:val="28"/>
          <w:szCs w:val="28"/>
        </w:rPr>
        <w:t xml:space="preserve">emorandum also gives guidelines for transfer of Group ‘C’ and Group ‘D’ employees. </w:t>
      </w:r>
    </w:p>
    <w:p w:rsidR="00176941" w:rsidRPr="005A14CE" w:rsidRDefault="00176941" w:rsidP="00D61387">
      <w:pPr>
        <w:pStyle w:val="ListParagraph"/>
        <w:spacing w:after="200"/>
        <w:ind w:left="0"/>
        <w:jc w:val="both"/>
        <w:rPr>
          <w:sz w:val="8"/>
          <w:szCs w:val="28"/>
        </w:rPr>
      </w:pPr>
      <w:r w:rsidRPr="005A14CE">
        <w:rPr>
          <w:sz w:val="28"/>
          <w:szCs w:val="28"/>
        </w:rPr>
        <w:t xml:space="preserve"> </w:t>
      </w:r>
    </w:p>
    <w:p w:rsidR="00994E92" w:rsidRPr="005A14CE" w:rsidRDefault="00994E92" w:rsidP="00176941">
      <w:pPr>
        <w:pStyle w:val="ListParagraph"/>
        <w:spacing w:after="200" w:line="360" w:lineRule="auto"/>
        <w:ind w:left="0" w:firstLine="720"/>
        <w:jc w:val="both"/>
        <w:rPr>
          <w:sz w:val="28"/>
          <w:szCs w:val="28"/>
        </w:rPr>
      </w:pPr>
      <w:r w:rsidRPr="005A14CE">
        <w:rPr>
          <w:sz w:val="28"/>
          <w:szCs w:val="28"/>
        </w:rPr>
        <w:t>The m</w:t>
      </w:r>
      <w:r w:rsidR="0017009E" w:rsidRPr="005A14CE">
        <w:rPr>
          <w:sz w:val="28"/>
          <w:szCs w:val="28"/>
        </w:rPr>
        <w:t>atter wa</w:t>
      </w:r>
      <w:r w:rsidR="00176941" w:rsidRPr="005A14CE">
        <w:rPr>
          <w:sz w:val="28"/>
          <w:szCs w:val="28"/>
        </w:rPr>
        <w:t xml:space="preserve">s </w:t>
      </w:r>
      <w:r w:rsidRPr="005A14CE">
        <w:rPr>
          <w:sz w:val="28"/>
          <w:szCs w:val="28"/>
        </w:rPr>
        <w:t>deliberated considering the strength of the Department and general transfer policy followed by the Department.  The Board however observed that there are instances in the Department wherein some of the officers have  continued their posting on the same post for several years without any transfer and the same is not fully in compliance of the guidelines issued in this regard.</w:t>
      </w:r>
    </w:p>
    <w:p w:rsidR="00D61387" w:rsidRPr="000E4B47" w:rsidRDefault="00D61387" w:rsidP="00D61387">
      <w:pPr>
        <w:pStyle w:val="ListParagraph"/>
        <w:spacing w:after="200"/>
        <w:ind w:left="0" w:firstLine="720"/>
        <w:jc w:val="both"/>
        <w:rPr>
          <w:sz w:val="14"/>
          <w:szCs w:val="28"/>
        </w:rPr>
      </w:pPr>
    </w:p>
    <w:p w:rsidR="00994E92" w:rsidRPr="005A14CE" w:rsidRDefault="00994E92" w:rsidP="00176941">
      <w:pPr>
        <w:pStyle w:val="ListParagraph"/>
        <w:spacing w:after="200" w:line="360" w:lineRule="auto"/>
        <w:ind w:left="0" w:firstLine="720"/>
        <w:jc w:val="both"/>
        <w:rPr>
          <w:sz w:val="28"/>
          <w:szCs w:val="28"/>
        </w:rPr>
      </w:pPr>
      <w:r w:rsidRPr="005A14CE">
        <w:rPr>
          <w:sz w:val="28"/>
          <w:szCs w:val="28"/>
        </w:rPr>
        <w:t>CTP (Admn.) was therefore directed to implement strictly the transfer policy to enhance the efficiency of the Department and keeping overall public interest in mind.</w:t>
      </w:r>
    </w:p>
    <w:p w:rsidR="00D61387" w:rsidRPr="005A14CE" w:rsidRDefault="00D61387" w:rsidP="00D61387">
      <w:pPr>
        <w:pStyle w:val="ListParagraph"/>
        <w:spacing w:after="200"/>
        <w:ind w:left="0" w:firstLine="720"/>
        <w:jc w:val="both"/>
        <w:rPr>
          <w:sz w:val="10"/>
          <w:szCs w:val="28"/>
        </w:rPr>
      </w:pPr>
    </w:p>
    <w:p w:rsidR="00994E92" w:rsidRPr="005A14CE" w:rsidRDefault="00994E92" w:rsidP="00176941">
      <w:pPr>
        <w:pStyle w:val="ListParagraph"/>
        <w:spacing w:after="200" w:line="360" w:lineRule="auto"/>
        <w:ind w:left="0" w:firstLine="720"/>
        <w:jc w:val="both"/>
        <w:rPr>
          <w:sz w:val="28"/>
          <w:szCs w:val="28"/>
        </w:rPr>
      </w:pPr>
      <w:r w:rsidRPr="005A14CE">
        <w:rPr>
          <w:sz w:val="28"/>
          <w:szCs w:val="28"/>
        </w:rPr>
        <w:t>CTP (Admn.) was accordingly required to initiate further procedure in this regard.</w:t>
      </w:r>
    </w:p>
    <w:p w:rsidR="00176941" w:rsidRPr="005A14CE" w:rsidRDefault="00176941" w:rsidP="00176941">
      <w:pPr>
        <w:pStyle w:val="ListParagraph"/>
        <w:spacing w:after="200"/>
        <w:ind w:left="0"/>
        <w:jc w:val="both"/>
        <w:rPr>
          <w:b/>
          <w:sz w:val="28"/>
          <w:szCs w:val="28"/>
        </w:rPr>
      </w:pPr>
    </w:p>
    <w:p w:rsidR="00027716" w:rsidRPr="005A14CE" w:rsidRDefault="00027716" w:rsidP="00176941">
      <w:pPr>
        <w:pStyle w:val="ListParagraph"/>
        <w:spacing w:after="200"/>
        <w:ind w:left="0"/>
        <w:jc w:val="both"/>
        <w:rPr>
          <w:b/>
          <w:sz w:val="28"/>
          <w:szCs w:val="28"/>
        </w:rPr>
      </w:pPr>
    </w:p>
    <w:p w:rsidR="00092DB9" w:rsidRDefault="00092DB9">
      <w:pPr>
        <w:spacing w:after="200" w:line="276" w:lineRule="auto"/>
        <w:rPr>
          <w:rFonts w:ascii="Times New Roman" w:eastAsia="Times New Roman" w:hAnsi="Times New Roman" w:cs="Times New Roman"/>
          <w:b/>
          <w:sz w:val="28"/>
          <w:szCs w:val="28"/>
          <w:lang w:val="en-GB"/>
        </w:rPr>
      </w:pPr>
      <w:r>
        <w:rPr>
          <w:b/>
          <w:sz w:val="28"/>
          <w:szCs w:val="28"/>
        </w:rPr>
        <w:br w:type="page"/>
      </w:r>
    </w:p>
    <w:p w:rsidR="00176941" w:rsidRPr="005A14CE" w:rsidRDefault="00176941" w:rsidP="00176941">
      <w:pPr>
        <w:pStyle w:val="ListParagraph"/>
        <w:spacing w:after="200"/>
        <w:ind w:left="0"/>
        <w:jc w:val="both"/>
        <w:rPr>
          <w:b/>
          <w:sz w:val="28"/>
          <w:szCs w:val="28"/>
        </w:rPr>
      </w:pPr>
      <w:r w:rsidRPr="005A14CE">
        <w:rPr>
          <w:b/>
          <w:sz w:val="28"/>
          <w:szCs w:val="28"/>
        </w:rPr>
        <w:lastRenderedPageBreak/>
        <w:t>Item No. 13:  Regarding change of zone in the ODP – 2031 of Panaji Planning Area.</w:t>
      </w:r>
    </w:p>
    <w:p w:rsidR="00176941" w:rsidRPr="000E4B47" w:rsidRDefault="00176941" w:rsidP="00176941">
      <w:pPr>
        <w:pStyle w:val="ListParagraph"/>
        <w:spacing w:after="200"/>
        <w:ind w:left="0"/>
        <w:jc w:val="both"/>
        <w:rPr>
          <w:b/>
          <w:sz w:val="14"/>
          <w:szCs w:val="28"/>
        </w:rPr>
      </w:pPr>
    </w:p>
    <w:p w:rsidR="00782034" w:rsidRPr="005A14CE" w:rsidRDefault="00782034" w:rsidP="00176941">
      <w:pPr>
        <w:pStyle w:val="ListParagraph"/>
        <w:spacing w:after="200" w:line="360" w:lineRule="auto"/>
        <w:ind w:left="0" w:firstLine="720"/>
        <w:jc w:val="both"/>
        <w:rPr>
          <w:sz w:val="28"/>
          <w:szCs w:val="28"/>
        </w:rPr>
      </w:pPr>
      <w:r w:rsidRPr="005A14CE">
        <w:rPr>
          <w:sz w:val="28"/>
          <w:szCs w:val="28"/>
        </w:rPr>
        <w:t>Member Secretary informed that a</w:t>
      </w:r>
      <w:r w:rsidR="00176941" w:rsidRPr="005A14CE">
        <w:rPr>
          <w:sz w:val="28"/>
          <w:szCs w:val="28"/>
        </w:rPr>
        <w:t xml:space="preserve"> note is received from Member Secretary, Greater Panaji PDA</w:t>
      </w:r>
      <w:r w:rsidR="0017009E" w:rsidRPr="005A14CE">
        <w:rPr>
          <w:sz w:val="28"/>
          <w:szCs w:val="28"/>
        </w:rPr>
        <w:t>,</w:t>
      </w:r>
      <w:r w:rsidR="00176941" w:rsidRPr="005A14CE">
        <w:rPr>
          <w:sz w:val="28"/>
          <w:szCs w:val="28"/>
        </w:rPr>
        <w:t xml:space="preserve"> vide which it is informed that the Authority has received a number of proposals to carry out the change of zone</w:t>
      </w:r>
      <w:r w:rsidR="0017009E" w:rsidRPr="005A14CE">
        <w:rPr>
          <w:sz w:val="28"/>
          <w:szCs w:val="28"/>
        </w:rPr>
        <w:t>s of</w:t>
      </w:r>
      <w:r w:rsidR="00176941" w:rsidRPr="005A14CE">
        <w:rPr>
          <w:sz w:val="28"/>
          <w:szCs w:val="28"/>
        </w:rPr>
        <w:t xml:space="preserve"> the propertie</w:t>
      </w:r>
      <w:r w:rsidRPr="005A14CE">
        <w:rPr>
          <w:sz w:val="28"/>
          <w:szCs w:val="28"/>
        </w:rPr>
        <w:t>s in Panaji Planning Area and that the GPPDA has stated that these cases require</w:t>
      </w:r>
      <w:r w:rsidR="00176941" w:rsidRPr="005A14CE">
        <w:rPr>
          <w:sz w:val="28"/>
          <w:szCs w:val="28"/>
        </w:rPr>
        <w:t xml:space="preserve"> special consideration in view of re</w:t>
      </w:r>
      <w:r w:rsidRPr="005A14CE">
        <w:rPr>
          <w:sz w:val="28"/>
          <w:szCs w:val="28"/>
        </w:rPr>
        <w:t>-</w:t>
      </w:r>
      <w:r w:rsidR="00176941" w:rsidRPr="005A14CE">
        <w:rPr>
          <w:sz w:val="28"/>
          <w:szCs w:val="28"/>
        </w:rPr>
        <w:t>development of housing societies and GTDC projects.</w:t>
      </w:r>
      <w:r w:rsidR="001713FF" w:rsidRPr="005A14CE">
        <w:rPr>
          <w:sz w:val="28"/>
          <w:szCs w:val="28"/>
        </w:rPr>
        <w:t xml:space="preserve">  </w:t>
      </w:r>
      <w:r w:rsidRPr="005A14CE">
        <w:rPr>
          <w:sz w:val="28"/>
          <w:szCs w:val="28"/>
        </w:rPr>
        <w:t>Member Secretary read out th</w:t>
      </w:r>
      <w:r w:rsidR="00176941" w:rsidRPr="005A14CE">
        <w:rPr>
          <w:sz w:val="28"/>
          <w:szCs w:val="28"/>
        </w:rPr>
        <w:t>e details</w:t>
      </w:r>
      <w:r w:rsidRPr="005A14CE">
        <w:rPr>
          <w:sz w:val="28"/>
          <w:szCs w:val="28"/>
        </w:rPr>
        <w:t xml:space="preserve"> of </w:t>
      </w:r>
      <w:r w:rsidR="001713FF" w:rsidRPr="005A14CE">
        <w:rPr>
          <w:sz w:val="28"/>
          <w:szCs w:val="28"/>
        </w:rPr>
        <w:t>13 proposals as forwarded by GPPDA.</w:t>
      </w:r>
      <w:r w:rsidRPr="005A14CE">
        <w:rPr>
          <w:sz w:val="28"/>
          <w:szCs w:val="28"/>
        </w:rPr>
        <w:t xml:space="preserve"> </w:t>
      </w:r>
    </w:p>
    <w:p w:rsidR="00782034" w:rsidRPr="005A14CE" w:rsidRDefault="00782034" w:rsidP="00782034">
      <w:pPr>
        <w:pStyle w:val="ListParagraph"/>
        <w:spacing w:after="200"/>
        <w:ind w:left="0" w:firstLine="720"/>
        <w:jc w:val="both"/>
        <w:rPr>
          <w:sz w:val="8"/>
          <w:szCs w:val="28"/>
        </w:rPr>
      </w:pPr>
    </w:p>
    <w:p w:rsidR="00842516" w:rsidRDefault="00782034" w:rsidP="00176941">
      <w:pPr>
        <w:pStyle w:val="ListParagraph"/>
        <w:spacing w:after="200" w:line="360" w:lineRule="auto"/>
        <w:ind w:left="0" w:firstLine="720"/>
        <w:jc w:val="both"/>
        <w:rPr>
          <w:sz w:val="28"/>
          <w:szCs w:val="28"/>
        </w:rPr>
      </w:pPr>
      <w:r w:rsidRPr="005A14CE">
        <w:rPr>
          <w:sz w:val="28"/>
          <w:szCs w:val="28"/>
        </w:rPr>
        <w:t xml:space="preserve">The Board deliberated and </w:t>
      </w:r>
      <w:r w:rsidR="00842516">
        <w:rPr>
          <w:sz w:val="28"/>
          <w:szCs w:val="28"/>
        </w:rPr>
        <w:t xml:space="preserve">took note on the justification given by the Member Secretary on the proposals received.  As regards to the proposal as referred at Sr.No. 1,  it is mentioned in the letter that development of the property by GTDC would attract revenue generation to the Government and as regards to </w:t>
      </w:r>
      <w:r w:rsidR="00C42A88">
        <w:rPr>
          <w:sz w:val="28"/>
          <w:szCs w:val="28"/>
        </w:rPr>
        <w:t>Sr.</w:t>
      </w:r>
      <w:r w:rsidR="00842516">
        <w:rPr>
          <w:sz w:val="28"/>
          <w:szCs w:val="28"/>
        </w:rPr>
        <w:t xml:space="preserve"> No. 12 &amp; 13 of Department of Tourism, it is mentioned that the land need to be developed for commercial activities so that they can generate the revenue to the Government.</w:t>
      </w:r>
      <w:r w:rsidR="00C42A88">
        <w:rPr>
          <w:sz w:val="28"/>
          <w:szCs w:val="28"/>
        </w:rPr>
        <w:t xml:space="preserve">  The Board also took note of the contents of the note of GPPDA which states that remaining cases are of re-development of housing colonies as these colonies have become very old and in dilapidated condition and have requested to change the zone to SPR (FAR 200) so that the Apartment’s occupants can redevelop the said building and reside in the same Apartments.</w:t>
      </w:r>
    </w:p>
    <w:p w:rsidR="00C42A88" w:rsidRPr="00C42A88" w:rsidRDefault="00C42A88" w:rsidP="00C42A88">
      <w:pPr>
        <w:pStyle w:val="ListParagraph"/>
        <w:spacing w:after="200"/>
        <w:ind w:left="0" w:firstLine="720"/>
        <w:jc w:val="both"/>
        <w:rPr>
          <w:sz w:val="12"/>
          <w:szCs w:val="28"/>
        </w:rPr>
      </w:pPr>
    </w:p>
    <w:p w:rsidR="00782034" w:rsidRPr="005A14CE" w:rsidRDefault="00C42A88" w:rsidP="00176941">
      <w:pPr>
        <w:pStyle w:val="ListParagraph"/>
        <w:spacing w:after="200" w:line="360" w:lineRule="auto"/>
        <w:ind w:left="0" w:firstLine="720"/>
        <w:jc w:val="both"/>
        <w:rPr>
          <w:sz w:val="28"/>
          <w:szCs w:val="28"/>
        </w:rPr>
      </w:pPr>
      <w:r>
        <w:rPr>
          <w:sz w:val="28"/>
          <w:szCs w:val="28"/>
        </w:rPr>
        <w:t xml:space="preserve">Considering the facts placed before it, the Board </w:t>
      </w:r>
      <w:r w:rsidR="00782034" w:rsidRPr="005A14CE">
        <w:rPr>
          <w:sz w:val="28"/>
          <w:szCs w:val="28"/>
        </w:rPr>
        <w:t xml:space="preserve">was of the view that in order to make </w:t>
      </w:r>
      <w:r w:rsidR="00075B5B" w:rsidRPr="005A14CE">
        <w:rPr>
          <w:sz w:val="28"/>
          <w:szCs w:val="28"/>
        </w:rPr>
        <w:t xml:space="preserve"> </w:t>
      </w:r>
      <w:r w:rsidR="00782034" w:rsidRPr="005A14CE">
        <w:rPr>
          <w:sz w:val="28"/>
          <w:szCs w:val="28"/>
        </w:rPr>
        <w:t>re-development of housing societies viable, it is essential to enhance the FAR of such properties such that the developers</w:t>
      </w:r>
      <w:r>
        <w:rPr>
          <w:sz w:val="28"/>
          <w:szCs w:val="28"/>
        </w:rPr>
        <w:t>/occupants</w:t>
      </w:r>
      <w:r w:rsidR="00176941" w:rsidRPr="005A14CE">
        <w:rPr>
          <w:sz w:val="28"/>
          <w:szCs w:val="28"/>
        </w:rPr>
        <w:t xml:space="preserve"> </w:t>
      </w:r>
      <w:r w:rsidR="00782034" w:rsidRPr="005A14CE">
        <w:rPr>
          <w:sz w:val="28"/>
          <w:szCs w:val="28"/>
        </w:rPr>
        <w:t xml:space="preserve">come forward to undertake the re-development of such societies, most of which </w:t>
      </w:r>
      <w:r w:rsidR="00176941" w:rsidRPr="005A14CE">
        <w:rPr>
          <w:sz w:val="28"/>
          <w:szCs w:val="28"/>
        </w:rPr>
        <w:t xml:space="preserve">are </w:t>
      </w:r>
      <w:r w:rsidR="00782034" w:rsidRPr="005A14CE">
        <w:rPr>
          <w:sz w:val="28"/>
          <w:szCs w:val="28"/>
        </w:rPr>
        <w:t xml:space="preserve">under dilapidated state.  The Board </w:t>
      </w:r>
      <w:r>
        <w:rPr>
          <w:sz w:val="28"/>
          <w:szCs w:val="28"/>
        </w:rPr>
        <w:t xml:space="preserve">also </w:t>
      </w:r>
      <w:r w:rsidR="00782034" w:rsidRPr="005A14CE">
        <w:rPr>
          <w:sz w:val="28"/>
          <w:szCs w:val="28"/>
        </w:rPr>
        <w:t>took note that the OD</w:t>
      </w:r>
      <w:r w:rsidR="00075B5B" w:rsidRPr="005A14CE">
        <w:rPr>
          <w:sz w:val="28"/>
          <w:szCs w:val="28"/>
        </w:rPr>
        <w:t>P</w:t>
      </w:r>
      <w:r w:rsidR="00782034" w:rsidRPr="005A14CE">
        <w:rPr>
          <w:sz w:val="28"/>
          <w:szCs w:val="28"/>
        </w:rPr>
        <w:t xml:space="preserve"> of Panaji is under preparation.</w:t>
      </w:r>
    </w:p>
    <w:p w:rsidR="001713FF" w:rsidRPr="005A14CE" w:rsidRDefault="001713FF" w:rsidP="001713FF">
      <w:pPr>
        <w:pStyle w:val="ListParagraph"/>
        <w:spacing w:after="200"/>
        <w:ind w:left="0" w:firstLine="720"/>
        <w:jc w:val="both"/>
        <w:rPr>
          <w:sz w:val="14"/>
          <w:szCs w:val="28"/>
        </w:rPr>
      </w:pPr>
    </w:p>
    <w:p w:rsidR="00092DB9" w:rsidRDefault="00782034" w:rsidP="00176941">
      <w:pPr>
        <w:pStyle w:val="ListParagraph"/>
        <w:spacing w:after="200" w:line="360" w:lineRule="auto"/>
        <w:ind w:left="0" w:firstLine="720"/>
        <w:jc w:val="both"/>
        <w:rPr>
          <w:sz w:val="28"/>
          <w:szCs w:val="28"/>
        </w:rPr>
      </w:pPr>
      <w:r w:rsidRPr="005A14CE">
        <w:rPr>
          <w:sz w:val="28"/>
          <w:szCs w:val="28"/>
        </w:rPr>
        <w:t xml:space="preserve">After having detail discussion on the proposals received, the Board recommended that </w:t>
      </w:r>
      <w:r w:rsidR="001713FF" w:rsidRPr="005A14CE">
        <w:rPr>
          <w:sz w:val="28"/>
          <w:szCs w:val="28"/>
        </w:rPr>
        <w:t xml:space="preserve">following </w:t>
      </w:r>
      <w:r w:rsidRPr="005A14CE">
        <w:rPr>
          <w:sz w:val="28"/>
          <w:szCs w:val="28"/>
        </w:rPr>
        <w:t xml:space="preserve">proposals shall be considered by </w:t>
      </w:r>
      <w:r w:rsidR="001713FF" w:rsidRPr="005A14CE">
        <w:rPr>
          <w:sz w:val="28"/>
          <w:szCs w:val="28"/>
        </w:rPr>
        <w:t xml:space="preserve">the </w:t>
      </w:r>
      <w:r w:rsidRPr="005A14CE">
        <w:rPr>
          <w:sz w:val="28"/>
          <w:szCs w:val="28"/>
        </w:rPr>
        <w:t xml:space="preserve">GPPDA for </w:t>
      </w:r>
      <w:r w:rsidR="001713FF" w:rsidRPr="005A14CE">
        <w:rPr>
          <w:sz w:val="28"/>
          <w:szCs w:val="28"/>
        </w:rPr>
        <w:t>change of zone as under:</w:t>
      </w:r>
    </w:p>
    <w:p w:rsidR="00092DB9" w:rsidRDefault="00092DB9">
      <w:pPr>
        <w:spacing w:after="200" w:line="276" w:lineRule="auto"/>
        <w:rPr>
          <w:rFonts w:ascii="Times New Roman" w:eastAsia="Times New Roman" w:hAnsi="Times New Roman" w:cs="Times New Roman"/>
          <w:sz w:val="28"/>
          <w:szCs w:val="28"/>
          <w:lang w:val="en-GB"/>
        </w:rPr>
      </w:pPr>
      <w:r>
        <w:rPr>
          <w:sz w:val="28"/>
          <w:szCs w:val="28"/>
        </w:rPr>
        <w:br w:type="page"/>
      </w:r>
    </w:p>
    <w:tbl>
      <w:tblPr>
        <w:tblStyle w:val="TableGrid"/>
        <w:tblW w:w="0" w:type="auto"/>
        <w:tblLayout w:type="fixed"/>
        <w:tblLook w:val="04A0" w:firstRow="1" w:lastRow="0" w:firstColumn="1" w:lastColumn="0" w:noHBand="0" w:noVBand="1"/>
      </w:tblPr>
      <w:tblGrid>
        <w:gridCol w:w="675"/>
        <w:gridCol w:w="1554"/>
        <w:gridCol w:w="1729"/>
        <w:gridCol w:w="1395"/>
        <w:gridCol w:w="1701"/>
        <w:gridCol w:w="1808"/>
      </w:tblGrid>
      <w:tr w:rsidR="00E62D42" w:rsidRPr="005A14CE" w:rsidTr="005D0064">
        <w:tc>
          <w:tcPr>
            <w:tcW w:w="675" w:type="dxa"/>
          </w:tcPr>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lastRenderedPageBreak/>
              <w:t>Sr.</w:t>
            </w:r>
          </w:p>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t>No.</w:t>
            </w:r>
          </w:p>
        </w:tc>
        <w:tc>
          <w:tcPr>
            <w:tcW w:w="1554" w:type="dxa"/>
          </w:tcPr>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t>Name of the applicant</w:t>
            </w:r>
          </w:p>
        </w:tc>
        <w:tc>
          <w:tcPr>
            <w:tcW w:w="1729" w:type="dxa"/>
          </w:tcPr>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t>P.T. Sheet/</w:t>
            </w:r>
            <w:r w:rsidR="005D0064" w:rsidRPr="00C42A88">
              <w:rPr>
                <w:rFonts w:ascii="Times New Roman" w:hAnsi="Times New Roman" w:cs="Times New Roman"/>
                <w:b/>
                <w:sz w:val="28"/>
                <w:szCs w:val="28"/>
              </w:rPr>
              <w:t xml:space="preserve"> </w:t>
            </w:r>
            <w:r w:rsidRPr="00C42A88">
              <w:rPr>
                <w:rFonts w:ascii="Times New Roman" w:hAnsi="Times New Roman" w:cs="Times New Roman"/>
                <w:b/>
                <w:sz w:val="28"/>
                <w:szCs w:val="28"/>
              </w:rPr>
              <w:t>Chalta No.</w:t>
            </w:r>
          </w:p>
        </w:tc>
        <w:tc>
          <w:tcPr>
            <w:tcW w:w="1395" w:type="dxa"/>
          </w:tcPr>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t>Area (in m2)</w:t>
            </w:r>
          </w:p>
        </w:tc>
        <w:tc>
          <w:tcPr>
            <w:tcW w:w="1701" w:type="dxa"/>
          </w:tcPr>
          <w:p w:rsidR="00AE4D70" w:rsidRPr="00C42A88" w:rsidRDefault="00AE4D70" w:rsidP="005D0064">
            <w:pPr>
              <w:pStyle w:val="NoSpacing"/>
              <w:rPr>
                <w:rFonts w:ascii="Times New Roman" w:hAnsi="Times New Roman" w:cs="Times New Roman"/>
                <w:b/>
                <w:sz w:val="28"/>
                <w:szCs w:val="28"/>
              </w:rPr>
            </w:pPr>
            <w:r w:rsidRPr="00C42A88">
              <w:rPr>
                <w:rFonts w:ascii="Times New Roman" w:hAnsi="Times New Roman" w:cs="Times New Roman"/>
                <w:b/>
                <w:sz w:val="28"/>
                <w:szCs w:val="28"/>
              </w:rPr>
              <w:t>Present  zone of the area</w:t>
            </w:r>
          </w:p>
        </w:tc>
        <w:tc>
          <w:tcPr>
            <w:tcW w:w="1808" w:type="dxa"/>
          </w:tcPr>
          <w:p w:rsidR="00AE4D70" w:rsidRPr="00C42A88" w:rsidRDefault="001E28ED" w:rsidP="001E28ED">
            <w:pPr>
              <w:pStyle w:val="NoSpacing"/>
              <w:rPr>
                <w:rFonts w:ascii="Times New Roman" w:hAnsi="Times New Roman" w:cs="Times New Roman"/>
                <w:b/>
                <w:sz w:val="28"/>
                <w:szCs w:val="28"/>
              </w:rPr>
            </w:pPr>
            <w:r w:rsidRPr="00C42A88">
              <w:rPr>
                <w:rFonts w:ascii="Times New Roman" w:hAnsi="Times New Roman" w:cs="Times New Roman"/>
                <w:b/>
                <w:sz w:val="28"/>
                <w:szCs w:val="28"/>
              </w:rPr>
              <w:t xml:space="preserve">Recommen-ded </w:t>
            </w:r>
            <w:r w:rsidR="00AE4D70" w:rsidRPr="00C42A88">
              <w:rPr>
                <w:rFonts w:ascii="Times New Roman" w:hAnsi="Times New Roman" w:cs="Times New Roman"/>
                <w:b/>
                <w:sz w:val="28"/>
                <w:szCs w:val="28"/>
              </w:rPr>
              <w:t xml:space="preserve"> zone</w:t>
            </w:r>
          </w:p>
        </w:tc>
      </w:tr>
      <w:tr w:rsidR="00E62D42" w:rsidRPr="005A14CE" w:rsidTr="005D0064">
        <w:tc>
          <w:tcPr>
            <w:tcW w:w="67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1.</w:t>
            </w:r>
          </w:p>
        </w:tc>
        <w:tc>
          <w:tcPr>
            <w:tcW w:w="1554"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GTDC</w:t>
            </w:r>
          </w:p>
        </w:tc>
        <w:tc>
          <w:tcPr>
            <w:tcW w:w="1729" w:type="dxa"/>
          </w:tcPr>
          <w:p w:rsidR="00AE4D70" w:rsidRPr="005A14CE" w:rsidRDefault="00FF506C" w:rsidP="005D0064">
            <w:pPr>
              <w:pStyle w:val="NoSpacing"/>
              <w:rPr>
                <w:rFonts w:ascii="Times New Roman" w:hAnsi="Times New Roman" w:cs="Times New Roman"/>
                <w:sz w:val="28"/>
                <w:szCs w:val="28"/>
              </w:rPr>
            </w:pPr>
            <w:r w:rsidRPr="005A14CE">
              <w:rPr>
                <w:rFonts w:ascii="Times New Roman" w:hAnsi="Times New Roman" w:cs="Times New Roman"/>
                <w:sz w:val="28"/>
                <w:szCs w:val="28"/>
              </w:rPr>
              <w:t xml:space="preserve">Ch. Nos. </w:t>
            </w:r>
            <w:r w:rsidR="00AE4D70" w:rsidRPr="005A14CE">
              <w:rPr>
                <w:rFonts w:ascii="Times New Roman" w:hAnsi="Times New Roman" w:cs="Times New Roman"/>
                <w:sz w:val="28"/>
                <w:szCs w:val="28"/>
              </w:rPr>
              <w:t xml:space="preserve">117/1, </w:t>
            </w:r>
            <w:r w:rsidR="005D0064" w:rsidRPr="005A14CE">
              <w:rPr>
                <w:rFonts w:ascii="Times New Roman" w:hAnsi="Times New Roman" w:cs="Times New Roman"/>
                <w:sz w:val="28"/>
                <w:szCs w:val="28"/>
              </w:rPr>
              <w:t xml:space="preserve"> </w:t>
            </w:r>
            <w:r w:rsidR="00AE4D70" w:rsidRPr="005A14CE">
              <w:rPr>
                <w:rFonts w:ascii="Times New Roman" w:hAnsi="Times New Roman" w:cs="Times New Roman"/>
                <w:sz w:val="28"/>
                <w:szCs w:val="28"/>
              </w:rPr>
              <w:t>117/</w:t>
            </w:r>
            <w:r w:rsidRPr="005A14CE">
              <w:rPr>
                <w:rFonts w:ascii="Times New Roman" w:hAnsi="Times New Roman" w:cs="Times New Roman"/>
                <w:sz w:val="28"/>
                <w:szCs w:val="28"/>
              </w:rPr>
              <w:t>1-</w:t>
            </w:r>
            <w:r w:rsidR="00AE4D70" w:rsidRPr="005A14CE">
              <w:rPr>
                <w:rFonts w:ascii="Times New Roman" w:hAnsi="Times New Roman" w:cs="Times New Roman"/>
                <w:sz w:val="28"/>
                <w:szCs w:val="28"/>
              </w:rPr>
              <w:t>A, 117/2-A, 118/1, 118/1-A, 118/1-B, 118/1-B-1, 118/2, 118/3,</w:t>
            </w:r>
          </w:p>
          <w:p w:rsidR="00AE4D70" w:rsidRPr="005A14CE" w:rsidRDefault="00AE4D70" w:rsidP="005D0064">
            <w:pPr>
              <w:pStyle w:val="NoSpacing"/>
              <w:rPr>
                <w:rFonts w:ascii="Times New Roman" w:hAnsi="Times New Roman" w:cs="Times New Roman"/>
                <w:sz w:val="28"/>
                <w:szCs w:val="28"/>
              </w:rPr>
            </w:pPr>
            <w:r w:rsidRPr="005A14CE">
              <w:rPr>
                <w:rFonts w:ascii="Times New Roman" w:hAnsi="Times New Roman" w:cs="Times New Roman"/>
                <w:sz w:val="28"/>
                <w:szCs w:val="28"/>
              </w:rPr>
              <w:t>118/4 &amp; 118/5</w:t>
            </w:r>
          </w:p>
        </w:tc>
        <w:tc>
          <w:tcPr>
            <w:tcW w:w="1395" w:type="dxa"/>
          </w:tcPr>
          <w:p w:rsidR="00AE4D70" w:rsidRPr="005A14CE" w:rsidRDefault="00AE4D70" w:rsidP="005D0064">
            <w:pPr>
              <w:pStyle w:val="NoSpacing"/>
              <w:rPr>
                <w:rFonts w:ascii="Times New Roman" w:hAnsi="Times New Roman" w:cs="Times New Roman"/>
                <w:sz w:val="28"/>
                <w:szCs w:val="28"/>
              </w:rPr>
            </w:pPr>
            <w:r w:rsidRPr="005A14CE">
              <w:rPr>
                <w:rFonts w:ascii="Times New Roman" w:hAnsi="Times New Roman" w:cs="Times New Roman"/>
                <w:sz w:val="28"/>
                <w:szCs w:val="28"/>
              </w:rPr>
              <w:t>19321.00</w:t>
            </w:r>
          </w:p>
        </w:tc>
        <w:tc>
          <w:tcPr>
            <w:tcW w:w="1701" w:type="dxa"/>
          </w:tcPr>
          <w:p w:rsidR="00AE4D70" w:rsidRPr="005A14CE" w:rsidRDefault="00AE4D70" w:rsidP="005D0064">
            <w:pPr>
              <w:pStyle w:val="NoSpacing"/>
              <w:rPr>
                <w:rFonts w:ascii="Times New Roman" w:hAnsi="Times New Roman" w:cs="Times New Roman"/>
                <w:sz w:val="28"/>
                <w:szCs w:val="28"/>
              </w:rPr>
            </w:pPr>
            <w:r w:rsidRPr="005A14CE">
              <w:rPr>
                <w:rFonts w:ascii="Times New Roman" w:hAnsi="Times New Roman" w:cs="Times New Roman"/>
                <w:sz w:val="28"/>
                <w:szCs w:val="28"/>
              </w:rPr>
              <w:t>‘C-1’ Commercial zone</w:t>
            </w:r>
          </w:p>
        </w:tc>
        <w:tc>
          <w:tcPr>
            <w:tcW w:w="1808" w:type="dxa"/>
          </w:tcPr>
          <w:p w:rsidR="00AE4D70" w:rsidRPr="005A14CE" w:rsidRDefault="00AE4D70" w:rsidP="005D0064">
            <w:pPr>
              <w:pStyle w:val="NoSpacing"/>
              <w:rPr>
                <w:rFonts w:ascii="Times New Roman" w:hAnsi="Times New Roman" w:cs="Times New Roman"/>
                <w:sz w:val="28"/>
                <w:szCs w:val="28"/>
              </w:rPr>
            </w:pPr>
            <w:r w:rsidRPr="005A14CE">
              <w:rPr>
                <w:rFonts w:ascii="Times New Roman" w:hAnsi="Times New Roman" w:cs="Times New Roman"/>
                <w:sz w:val="28"/>
                <w:szCs w:val="28"/>
              </w:rPr>
              <w:t>‘SPC’ Special Commercial zone</w:t>
            </w:r>
          </w:p>
        </w:tc>
      </w:tr>
      <w:tr w:rsidR="00E62D42" w:rsidRPr="005A14CE" w:rsidTr="005D0064">
        <w:tc>
          <w:tcPr>
            <w:tcW w:w="67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2.</w:t>
            </w:r>
          </w:p>
        </w:tc>
        <w:tc>
          <w:tcPr>
            <w:tcW w:w="1554"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Mr. Manoj Caculo, Mrs. Meghna Caculo &amp; Mr. Suraj Caculo &amp; Mrs. Shefali Caculo</w:t>
            </w:r>
          </w:p>
        </w:tc>
        <w:tc>
          <w:tcPr>
            <w:tcW w:w="1729"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Ch.No. 5 of P.T.S. No. 84</w:t>
            </w:r>
          </w:p>
        </w:tc>
        <w:tc>
          <w:tcPr>
            <w:tcW w:w="139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1079.00</w:t>
            </w:r>
          </w:p>
        </w:tc>
        <w:tc>
          <w:tcPr>
            <w:tcW w:w="1701"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3.</w:t>
            </w:r>
          </w:p>
        </w:tc>
        <w:tc>
          <w:tcPr>
            <w:tcW w:w="1554"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Dr. Prashant E. Natekar</w:t>
            </w:r>
          </w:p>
        </w:tc>
        <w:tc>
          <w:tcPr>
            <w:tcW w:w="1729"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Ch.No. 45 of P.T.S. No. 99</w:t>
            </w:r>
          </w:p>
        </w:tc>
        <w:tc>
          <w:tcPr>
            <w:tcW w:w="139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504.00</w:t>
            </w:r>
          </w:p>
        </w:tc>
        <w:tc>
          <w:tcPr>
            <w:tcW w:w="1701"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4.</w:t>
            </w:r>
          </w:p>
        </w:tc>
        <w:tc>
          <w:tcPr>
            <w:tcW w:w="1554"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 xml:space="preserve">Miramar State </w:t>
            </w:r>
            <w:r w:rsidR="00FF506C" w:rsidRPr="005A14CE">
              <w:rPr>
                <w:rFonts w:ascii="Times New Roman" w:hAnsi="Times New Roman" w:cs="Times New Roman"/>
                <w:sz w:val="28"/>
                <w:szCs w:val="28"/>
              </w:rPr>
              <w:t>Bank of India Employees Co-op. S</w:t>
            </w:r>
            <w:r w:rsidRPr="005A14CE">
              <w:rPr>
                <w:rFonts w:ascii="Times New Roman" w:hAnsi="Times New Roman" w:cs="Times New Roman"/>
                <w:sz w:val="28"/>
                <w:szCs w:val="28"/>
              </w:rPr>
              <w:t>ociety Ltd.</w:t>
            </w:r>
          </w:p>
        </w:tc>
        <w:tc>
          <w:tcPr>
            <w:tcW w:w="1729"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Ch.No. 12 of P.T.S. No. 115</w:t>
            </w:r>
          </w:p>
        </w:tc>
        <w:tc>
          <w:tcPr>
            <w:tcW w:w="1395"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1008.00</w:t>
            </w:r>
          </w:p>
        </w:tc>
        <w:tc>
          <w:tcPr>
            <w:tcW w:w="1701"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AE4D70" w:rsidRPr="005A14CE" w:rsidRDefault="00AE4D70"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FF506C" w:rsidRPr="005A14CE" w:rsidRDefault="00FF506C" w:rsidP="00FF506C">
            <w:pPr>
              <w:rPr>
                <w:rFonts w:ascii="Times New Roman" w:hAnsi="Times New Roman" w:cs="Times New Roman"/>
                <w:sz w:val="28"/>
                <w:szCs w:val="28"/>
              </w:rPr>
            </w:pPr>
            <w:r w:rsidRPr="005A14CE">
              <w:rPr>
                <w:rFonts w:ascii="Times New Roman" w:hAnsi="Times New Roman" w:cs="Times New Roman"/>
                <w:sz w:val="28"/>
                <w:szCs w:val="28"/>
              </w:rPr>
              <w:t>5.</w:t>
            </w:r>
          </w:p>
        </w:tc>
        <w:tc>
          <w:tcPr>
            <w:tcW w:w="1554" w:type="dxa"/>
          </w:tcPr>
          <w:p w:rsidR="00FF506C" w:rsidRPr="005A14CE" w:rsidRDefault="00FF506C" w:rsidP="00FF506C">
            <w:pPr>
              <w:rPr>
                <w:rFonts w:ascii="Times New Roman" w:hAnsi="Times New Roman" w:cs="Times New Roman"/>
                <w:sz w:val="28"/>
                <w:szCs w:val="28"/>
              </w:rPr>
            </w:pPr>
            <w:r w:rsidRPr="005A14CE">
              <w:rPr>
                <w:rFonts w:ascii="Times New Roman" w:hAnsi="Times New Roman" w:cs="Times New Roman"/>
                <w:sz w:val="28"/>
                <w:szCs w:val="28"/>
              </w:rPr>
              <w:t>New Parag Apartments Co-op. Housing Society Ltd.</w:t>
            </w:r>
          </w:p>
        </w:tc>
        <w:tc>
          <w:tcPr>
            <w:tcW w:w="1729" w:type="dxa"/>
          </w:tcPr>
          <w:p w:rsidR="00FF506C" w:rsidRPr="005A14CE" w:rsidRDefault="00FF506C" w:rsidP="00FF506C">
            <w:pPr>
              <w:rPr>
                <w:rFonts w:ascii="Times New Roman" w:hAnsi="Times New Roman" w:cs="Times New Roman"/>
                <w:sz w:val="28"/>
                <w:szCs w:val="28"/>
              </w:rPr>
            </w:pPr>
            <w:r w:rsidRPr="005A14CE">
              <w:rPr>
                <w:rFonts w:ascii="Times New Roman" w:hAnsi="Times New Roman" w:cs="Times New Roman"/>
                <w:sz w:val="28"/>
                <w:szCs w:val="28"/>
              </w:rPr>
              <w:t>Ch.No. 19-A of P.T.S. No. 131</w:t>
            </w:r>
          </w:p>
        </w:tc>
        <w:tc>
          <w:tcPr>
            <w:tcW w:w="1395" w:type="dxa"/>
          </w:tcPr>
          <w:p w:rsidR="00FF506C" w:rsidRPr="005A14CE" w:rsidRDefault="00FF506C" w:rsidP="00FF506C">
            <w:pPr>
              <w:rPr>
                <w:rFonts w:ascii="Times New Roman" w:hAnsi="Times New Roman" w:cs="Times New Roman"/>
                <w:sz w:val="28"/>
                <w:szCs w:val="28"/>
              </w:rPr>
            </w:pPr>
          </w:p>
        </w:tc>
        <w:tc>
          <w:tcPr>
            <w:tcW w:w="1701" w:type="dxa"/>
          </w:tcPr>
          <w:p w:rsidR="00FF506C" w:rsidRPr="005A14CE" w:rsidRDefault="00FF506C" w:rsidP="00FF506C">
            <w:pPr>
              <w:rPr>
                <w:rFonts w:ascii="Times New Roman" w:hAnsi="Times New Roman" w:cs="Times New Roman"/>
                <w:sz w:val="28"/>
                <w:szCs w:val="28"/>
              </w:rPr>
            </w:pPr>
            <w:r w:rsidRPr="005A14CE">
              <w:rPr>
                <w:rFonts w:ascii="Times New Roman" w:hAnsi="Times New Roman" w:cs="Times New Roman"/>
                <w:sz w:val="28"/>
                <w:szCs w:val="28"/>
              </w:rPr>
              <w:t>‘S-1’ Settlement zone</w:t>
            </w:r>
          </w:p>
        </w:tc>
        <w:tc>
          <w:tcPr>
            <w:tcW w:w="1808" w:type="dxa"/>
          </w:tcPr>
          <w:p w:rsidR="00FF506C" w:rsidRPr="005A14CE" w:rsidRDefault="00FF506C" w:rsidP="00FF506C">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6.</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Rajnigan</w:t>
            </w:r>
            <w:r w:rsidR="005D0064" w:rsidRPr="005A14CE">
              <w:rPr>
                <w:rFonts w:ascii="Times New Roman" w:hAnsi="Times New Roman" w:cs="Times New Roman"/>
                <w:sz w:val="28"/>
                <w:szCs w:val="28"/>
              </w:rPr>
              <w:t>-</w:t>
            </w:r>
            <w:r w:rsidRPr="005A14CE">
              <w:rPr>
                <w:rFonts w:ascii="Times New Roman" w:hAnsi="Times New Roman" w:cs="Times New Roman"/>
                <w:sz w:val="28"/>
                <w:szCs w:val="28"/>
              </w:rPr>
              <w:t>dha Apartment</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Plot No. B-24 Ch.No. 35 of P.T. Sheet No. 115</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504.00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7.</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 xml:space="preserve">Happy Home Co-op. Hsg. </w:t>
            </w:r>
            <w:r w:rsidRPr="005A14CE">
              <w:rPr>
                <w:rFonts w:ascii="Times New Roman" w:hAnsi="Times New Roman" w:cs="Times New Roman"/>
                <w:sz w:val="28"/>
                <w:szCs w:val="28"/>
              </w:rPr>
              <w:lastRenderedPageBreak/>
              <w:t>Society</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lastRenderedPageBreak/>
              <w:t xml:space="preserve">Plot No. 22/B Ch.No. 31 of P.T. </w:t>
            </w:r>
            <w:r w:rsidRPr="005A14CE">
              <w:rPr>
                <w:rFonts w:ascii="Times New Roman" w:hAnsi="Times New Roman" w:cs="Times New Roman"/>
                <w:sz w:val="28"/>
                <w:szCs w:val="28"/>
              </w:rPr>
              <w:lastRenderedPageBreak/>
              <w:t>Sheet No. 115</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lastRenderedPageBreak/>
              <w:t>504.00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8.</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Nishigan</w:t>
            </w:r>
            <w:r w:rsidR="001937AE">
              <w:rPr>
                <w:rFonts w:ascii="Times New Roman" w:hAnsi="Times New Roman" w:cs="Times New Roman"/>
                <w:sz w:val="28"/>
                <w:szCs w:val="28"/>
              </w:rPr>
              <w:t>-</w:t>
            </w:r>
            <w:r w:rsidRPr="005A14CE">
              <w:rPr>
                <w:rFonts w:ascii="Times New Roman" w:hAnsi="Times New Roman" w:cs="Times New Roman"/>
                <w:sz w:val="28"/>
                <w:szCs w:val="28"/>
              </w:rPr>
              <w:t>dha Apartment</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Plot No. B-25 Ch.No. 36 of P.T. Sheet No. 115</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504.00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9.</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Ketan Apartment</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Plot No. F-6 Ch.No. 29 of P.T. Sheet No. 115</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504.00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10.</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Mr. Anil Rodrigues</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Plot No. C-15 Ch.No. 58 of P.T. Sheet No. 119</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500.00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‘C-2’ Commercial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‘C-1’ Commercial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11.</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Central Bank of India</w:t>
            </w:r>
          </w:p>
        </w:tc>
        <w:tc>
          <w:tcPr>
            <w:tcW w:w="1729"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Ch.No. 13 of P.T. Sheet No. 115</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1008.00</w:t>
            </w:r>
          </w:p>
        </w:tc>
        <w:tc>
          <w:tcPr>
            <w:tcW w:w="1701"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‘S-2’ Settlement zone</w:t>
            </w:r>
          </w:p>
        </w:tc>
        <w:tc>
          <w:tcPr>
            <w:tcW w:w="1808"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‘SPR’ Special Residential zone</w:t>
            </w:r>
          </w:p>
        </w:tc>
      </w:tr>
      <w:tr w:rsidR="00E62D42" w:rsidRPr="005A14CE" w:rsidTr="005D0064">
        <w:tc>
          <w:tcPr>
            <w:tcW w:w="67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12.</w:t>
            </w:r>
          </w:p>
        </w:tc>
        <w:tc>
          <w:tcPr>
            <w:tcW w:w="1554"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Department of Tourism</w:t>
            </w:r>
          </w:p>
        </w:tc>
        <w:tc>
          <w:tcPr>
            <w:tcW w:w="1729" w:type="dxa"/>
          </w:tcPr>
          <w:p w:rsidR="00E62D42" w:rsidRPr="005A14CE" w:rsidRDefault="00E62D42" w:rsidP="00195C15">
            <w:pPr>
              <w:rPr>
                <w:rFonts w:ascii="Times New Roman" w:hAnsi="Times New Roman" w:cs="Times New Roman"/>
                <w:sz w:val="28"/>
                <w:szCs w:val="28"/>
              </w:rPr>
            </w:pPr>
            <w:r w:rsidRPr="005A14CE">
              <w:rPr>
                <w:rFonts w:ascii="Times New Roman" w:hAnsi="Times New Roman" w:cs="Times New Roman"/>
                <w:sz w:val="28"/>
                <w:szCs w:val="28"/>
              </w:rPr>
              <w:t>Ch.No. 3 of P.T.S. No. 135 &amp; Ch.No. 1 of P.T.</w:t>
            </w:r>
            <w:r w:rsidR="00195C15" w:rsidRPr="005A14CE">
              <w:rPr>
                <w:rFonts w:ascii="Times New Roman" w:hAnsi="Times New Roman" w:cs="Times New Roman"/>
                <w:sz w:val="28"/>
                <w:szCs w:val="28"/>
              </w:rPr>
              <w:t xml:space="preserve"> </w:t>
            </w:r>
            <w:r w:rsidRPr="005A14CE">
              <w:rPr>
                <w:rFonts w:ascii="Times New Roman" w:hAnsi="Times New Roman" w:cs="Times New Roman"/>
                <w:sz w:val="28"/>
                <w:szCs w:val="28"/>
              </w:rPr>
              <w:t>S</w:t>
            </w:r>
            <w:r w:rsidR="00195C15" w:rsidRPr="005A14CE">
              <w:rPr>
                <w:rFonts w:ascii="Times New Roman" w:hAnsi="Times New Roman" w:cs="Times New Roman"/>
                <w:sz w:val="28"/>
                <w:szCs w:val="28"/>
              </w:rPr>
              <w:t>heet</w:t>
            </w:r>
            <w:r w:rsidRPr="005A14CE">
              <w:rPr>
                <w:rFonts w:ascii="Times New Roman" w:hAnsi="Times New Roman" w:cs="Times New Roman"/>
                <w:sz w:val="28"/>
                <w:szCs w:val="28"/>
              </w:rPr>
              <w:t xml:space="preserve"> No. 141</w:t>
            </w:r>
          </w:p>
        </w:tc>
        <w:tc>
          <w:tcPr>
            <w:tcW w:w="1395" w:type="dxa"/>
          </w:tcPr>
          <w:p w:rsidR="00E62D42" w:rsidRPr="005A14CE" w:rsidRDefault="00E62D42" w:rsidP="00E62D42">
            <w:pPr>
              <w:rPr>
                <w:rFonts w:ascii="Times New Roman" w:hAnsi="Times New Roman" w:cs="Times New Roman"/>
                <w:sz w:val="28"/>
                <w:szCs w:val="28"/>
              </w:rPr>
            </w:pPr>
            <w:r w:rsidRPr="005A14CE">
              <w:rPr>
                <w:rFonts w:ascii="Times New Roman" w:hAnsi="Times New Roman" w:cs="Times New Roman"/>
                <w:sz w:val="28"/>
                <w:szCs w:val="28"/>
              </w:rPr>
              <w:t>15433.00</w:t>
            </w:r>
          </w:p>
        </w:tc>
        <w:tc>
          <w:tcPr>
            <w:tcW w:w="1701" w:type="dxa"/>
          </w:tcPr>
          <w:p w:rsidR="00195C15" w:rsidRPr="000E4B47" w:rsidRDefault="00E62D42" w:rsidP="000E4B47">
            <w:pPr>
              <w:pStyle w:val="NoSpacing"/>
              <w:rPr>
                <w:rFonts w:ascii="Times New Roman" w:hAnsi="Times New Roman" w:cs="Times New Roman"/>
                <w:sz w:val="28"/>
                <w:szCs w:val="28"/>
              </w:rPr>
            </w:pPr>
            <w:r w:rsidRPr="000E4B47">
              <w:rPr>
                <w:rFonts w:ascii="Times New Roman" w:hAnsi="Times New Roman" w:cs="Times New Roman"/>
                <w:sz w:val="28"/>
                <w:szCs w:val="28"/>
              </w:rPr>
              <w:t>‘P’ Public/</w:t>
            </w:r>
          </w:p>
          <w:p w:rsidR="00195C15" w:rsidRPr="000E4B47" w:rsidRDefault="00E62D42" w:rsidP="000E4B47">
            <w:pPr>
              <w:pStyle w:val="NoSpacing"/>
              <w:rPr>
                <w:rFonts w:ascii="Times New Roman" w:hAnsi="Times New Roman" w:cs="Times New Roman"/>
                <w:sz w:val="28"/>
                <w:szCs w:val="28"/>
              </w:rPr>
            </w:pPr>
            <w:r w:rsidRPr="000E4B47">
              <w:rPr>
                <w:rFonts w:ascii="Times New Roman" w:hAnsi="Times New Roman" w:cs="Times New Roman"/>
                <w:sz w:val="28"/>
                <w:szCs w:val="28"/>
              </w:rPr>
              <w:t>Semi Public/</w:t>
            </w:r>
          </w:p>
          <w:p w:rsidR="00E62D42" w:rsidRPr="000E4B47" w:rsidRDefault="00E62D42" w:rsidP="000E4B47">
            <w:pPr>
              <w:pStyle w:val="NoSpacing"/>
              <w:rPr>
                <w:rFonts w:ascii="Times New Roman" w:hAnsi="Times New Roman" w:cs="Times New Roman"/>
                <w:sz w:val="28"/>
                <w:szCs w:val="28"/>
              </w:rPr>
            </w:pPr>
            <w:r w:rsidRPr="000E4B47">
              <w:rPr>
                <w:rFonts w:ascii="Times New Roman" w:hAnsi="Times New Roman" w:cs="Times New Roman"/>
                <w:sz w:val="28"/>
                <w:szCs w:val="28"/>
              </w:rPr>
              <w:t>Insti</w:t>
            </w:r>
            <w:r w:rsidR="00195C15" w:rsidRPr="000E4B47">
              <w:rPr>
                <w:rFonts w:ascii="Times New Roman" w:hAnsi="Times New Roman" w:cs="Times New Roman"/>
                <w:sz w:val="28"/>
                <w:szCs w:val="28"/>
              </w:rPr>
              <w:t>tutio</w:t>
            </w:r>
            <w:r w:rsidRPr="000E4B47">
              <w:rPr>
                <w:rFonts w:ascii="Times New Roman" w:hAnsi="Times New Roman" w:cs="Times New Roman"/>
                <w:sz w:val="28"/>
                <w:szCs w:val="28"/>
              </w:rPr>
              <w:t>nal zone</w:t>
            </w:r>
          </w:p>
        </w:tc>
        <w:tc>
          <w:tcPr>
            <w:tcW w:w="1808" w:type="dxa"/>
          </w:tcPr>
          <w:p w:rsidR="00E62D42" w:rsidRPr="000E4B47" w:rsidRDefault="00E62D42" w:rsidP="000E4B47">
            <w:pPr>
              <w:pStyle w:val="NoSpacing"/>
              <w:rPr>
                <w:rFonts w:ascii="Times New Roman" w:hAnsi="Times New Roman" w:cs="Times New Roman"/>
                <w:sz w:val="28"/>
                <w:szCs w:val="28"/>
              </w:rPr>
            </w:pPr>
            <w:r w:rsidRPr="000E4B47">
              <w:rPr>
                <w:rFonts w:ascii="Times New Roman" w:hAnsi="Times New Roman" w:cs="Times New Roman"/>
                <w:sz w:val="28"/>
                <w:szCs w:val="28"/>
              </w:rPr>
              <w:t>‘SP</w:t>
            </w:r>
            <w:r w:rsidR="00195C15" w:rsidRPr="000E4B47">
              <w:rPr>
                <w:rFonts w:ascii="Times New Roman" w:hAnsi="Times New Roman" w:cs="Times New Roman"/>
                <w:sz w:val="28"/>
                <w:szCs w:val="28"/>
              </w:rPr>
              <w:t>C</w:t>
            </w:r>
            <w:r w:rsidRPr="000E4B47">
              <w:rPr>
                <w:rFonts w:ascii="Times New Roman" w:hAnsi="Times New Roman" w:cs="Times New Roman"/>
                <w:sz w:val="28"/>
                <w:szCs w:val="28"/>
              </w:rPr>
              <w:t xml:space="preserve">’ Special </w:t>
            </w:r>
            <w:r w:rsidR="00195C15" w:rsidRPr="000E4B47">
              <w:rPr>
                <w:rFonts w:ascii="Times New Roman" w:hAnsi="Times New Roman" w:cs="Times New Roman"/>
                <w:sz w:val="28"/>
                <w:szCs w:val="28"/>
              </w:rPr>
              <w:t>Commercial</w:t>
            </w:r>
            <w:r w:rsidRPr="000E4B47">
              <w:rPr>
                <w:rFonts w:ascii="Times New Roman" w:hAnsi="Times New Roman" w:cs="Times New Roman"/>
                <w:sz w:val="28"/>
                <w:szCs w:val="28"/>
              </w:rPr>
              <w:t xml:space="preserve"> zone</w:t>
            </w:r>
          </w:p>
        </w:tc>
      </w:tr>
      <w:tr w:rsidR="00195C15" w:rsidRPr="005A14CE" w:rsidTr="005D0064">
        <w:tc>
          <w:tcPr>
            <w:tcW w:w="675"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13.</w:t>
            </w:r>
          </w:p>
        </w:tc>
        <w:tc>
          <w:tcPr>
            <w:tcW w:w="1554"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Department of Tourism</w:t>
            </w:r>
          </w:p>
        </w:tc>
        <w:tc>
          <w:tcPr>
            <w:tcW w:w="1729"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Ch.No. 1 &amp; 2 (part) of P.T. Sheet No. 7</w:t>
            </w:r>
          </w:p>
        </w:tc>
        <w:tc>
          <w:tcPr>
            <w:tcW w:w="1395"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5540.00</w:t>
            </w:r>
          </w:p>
        </w:tc>
        <w:tc>
          <w:tcPr>
            <w:tcW w:w="1701"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‘F-P’ Public/Semi Public/ Institutional Conserva-tion zone</w:t>
            </w:r>
          </w:p>
        </w:tc>
        <w:tc>
          <w:tcPr>
            <w:tcW w:w="1808" w:type="dxa"/>
          </w:tcPr>
          <w:p w:rsidR="00195C15" w:rsidRPr="005A14CE" w:rsidRDefault="00195C15" w:rsidP="00195C15">
            <w:pPr>
              <w:rPr>
                <w:rFonts w:ascii="Times New Roman" w:hAnsi="Times New Roman" w:cs="Times New Roman"/>
                <w:sz w:val="28"/>
                <w:szCs w:val="28"/>
              </w:rPr>
            </w:pPr>
            <w:r w:rsidRPr="005A14CE">
              <w:rPr>
                <w:rFonts w:ascii="Times New Roman" w:hAnsi="Times New Roman" w:cs="Times New Roman"/>
                <w:sz w:val="28"/>
                <w:szCs w:val="28"/>
              </w:rPr>
              <w:t>‘SPC’ Special Commercial zone</w:t>
            </w:r>
          </w:p>
        </w:tc>
      </w:tr>
    </w:tbl>
    <w:p w:rsidR="00782034" w:rsidRPr="005A14CE" w:rsidRDefault="00782034" w:rsidP="00782034">
      <w:pPr>
        <w:pStyle w:val="ListParagraph"/>
        <w:spacing w:after="200"/>
        <w:ind w:left="0" w:firstLine="720"/>
        <w:jc w:val="both"/>
        <w:rPr>
          <w:sz w:val="28"/>
          <w:szCs w:val="28"/>
        </w:rPr>
      </w:pPr>
    </w:p>
    <w:p w:rsidR="00176941" w:rsidRPr="005A14CE" w:rsidRDefault="00782034" w:rsidP="00176941">
      <w:pPr>
        <w:pStyle w:val="ListParagraph"/>
        <w:spacing w:after="200" w:line="360" w:lineRule="auto"/>
        <w:ind w:left="0" w:firstLine="720"/>
        <w:jc w:val="both"/>
        <w:rPr>
          <w:sz w:val="28"/>
          <w:szCs w:val="28"/>
        </w:rPr>
      </w:pPr>
      <w:r w:rsidRPr="005A14CE">
        <w:rPr>
          <w:sz w:val="28"/>
          <w:szCs w:val="28"/>
        </w:rPr>
        <w:t>Member Secretary  was accordingly directed to communicate the recommendation of the Board to GPPDA.</w:t>
      </w:r>
    </w:p>
    <w:p w:rsidR="00092DB9" w:rsidRDefault="00092DB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027716" w:rsidRPr="005A14CE" w:rsidRDefault="00027716">
      <w:pPr>
        <w:spacing w:after="200" w:line="276" w:lineRule="auto"/>
        <w:rPr>
          <w:rFonts w:ascii="Times New Roman" w:hAnsi="Times New Roman" w:cs="Times New Roman"/>
          <w:b/>
          <w:sz w:val="28"/>
          <w:szCs w:val="28"/>
        </w:rPr>
      </w:pPr>
    </w:p>
    <w:p w:rsidR="00176941" w:rsidRPr="005A14CE" w:rsidRDefault="00176941" w:rsidP="00176941">
      <w:pPr>
        <w:spacing w:after="200" w:line="240" w:lineRule="auto"/>
        <w:jc w:val="both"/>
        <w:rPr>
          <w:rFonts w:ascii="Times New Roman" w:hAnsi="Times New Roman" w:cs="Times New Roman"/>
          <w:b/>
          <w:sz w:val="28"/>
          <w:szCs w:val="28"/>
        </w:rPr>
      </w:pPr>
      <w:r w:rsidRPr="005A14CE">
        <w:rPr>
          <w:rFonts w:ascii="Times New Roman" w:hAnsi="Times New Roman" w:cs="Times New Roman"/>
          <w:b/>
          <w:sz w:val="28"/>
          <w:szCs w:val="28"/>
        </w:rPr>
        <w:t>Item No. 14:  Facilities to be permitted in Orchard Zone for setting up of public utilities.</w:t>
      </w:r>
    </w:p>
    <w:p w:rsidR="00DB700B" w:rsidRPr="005A14CE" w:rsidRDefault="00176941" w:rsidP="00176941">
      <w:pPr>
        <w:spacing w:after="200" w:line="360" w:lineRule="auto"/>
        <w:jc w:val="both"/>
        <w:rPr>
          <w:rFonts w:ascii="Times New Roman" w:hAnsi="Times New Roman" w:cs="Times New Roman"/>
          <w:sz w:val="28"/>
          <w:szCs w:val="28"/>
        </w:rPr>
      </w:pPr>
      <w:r w:rsidRPr="005A14CE">
        <w:rPr>
          <w:rFonts w:ascii="Times New Roman" w:hAnsi="Times New Roman" w:cs="Times New Roman"/>
          <w:sz w:val="28"/>
          <w:szCs w:val="28"/>
        </w:rPr>
        <w:tab/>
      </w:r>
      <w:r w:rsidR="00782034" w:rsidRPr="005A14CE">
        <w:rPr>
          <w:rFonts w:ascii="Times New Roman" w:hAnsi="Times New Roman" w:cs="Times New Roman"/>
          <w:sz w:val="28"/>
          <w:szCs w:val="28"/>
        </w:rPr>
        <w:t xml:space="preserve">Member Secretary informed </w:t>
      </w:r>
      <w:r w:rsidRPr="005A14CE">
        <w:rPr>
          <w:rFonts w:ascii="Times New Roman" w:hAnsi="Times New Roman" w:cs="Times New Roman"/>
          <w:sz w:val="28"/>
          <w:szCs w:val="28"/>
        </w:rPr>
        <w:t xml:space="preserve">that there is a growing trend </w:t>
      </w:r>
      <w:r w:rsidR="00782034" w:rsidRPr="005A14CE">
        <w:rPr>
          <w:rFonts w:ascii="Times New Roman" w:hAnsi="Times New Roman" w:cs="Times New Roman"/>
          <w:sz w:val="28"/>
          <w:szCs w:val="28"/>
        </w:rPr>
        <w:t>of</w:t>
      </w:r>
      <w:r w:rsidRPr="005A14CE">
        <w:rPr>
          <w:rFonts w:ascii="Times New Roman" w:hAnsi="Times New Roman" w:cs="Times New Roman"/>
          <w:sz w:val="28"/>
          <w:szCs w:val="28"/>
        </w:rPr>
        <w:t xml:space="preserve"> establish</w:t>
      </w:r>
      <w:r w:rsidR="00782034" w:rsidRPr="005A14CE">
        <w:rPr>
          <w:rFonts w:ascii="Times New Roman" w:hAnsi="Times New Roman" w:cs="Times New Roman"/>
          <w:sz w:val="28"/>
          <w:szCs w:val="28"/>
        </w:rPr>
        <w:t>ing public utility facilities such as</w:t>
      </w:r>
      <w:r w:rsidRPr="005A14CE">
        <w:rPr>
          <w:rFonts w:ascii="Times New Roman" w:hAnsi="Times New Roman" w:cs="Times New Roman"/>
          <w:sz w:val="28"/>
          <w:szCs w:val="28"/>
        </w:rPr>
        <w:t xml:space="preserve"> gymnasiums</w:t>
      </w:r>
      <w:r w:rsidR="00782034" w:rsidRPr="005A14CE">
        <w:rPr>
          <w:rFonts w:ascii="Times New Roman" w:hAnsi="Times New Roman" w:cs="Times New Roman"/>
          <w:sz w:val="28"/>
          <w:szCs w:val="28"/>
        </w:rPr>
        <w:t>,</w:t>
      </w:r>
      <w:r w:rsidRPr="005A14CE">
        <w:rPr>
          <w:rFonts w:ascii="Times New Roman" w:hAnsi="Times New Roman" w:cs="Times New Roman"/>
          <w:sz w:val="28"/>
          <w:szCs w:val="28"/>
        </w:rPr>
        <w:t xml:space="preserve"> libraries</w:t>
      </w:r>
      <w:r w:rsidR="00782034" w:rsidRPr="005A14CE">
        <w:rPr>
          <w:rFonts w:ascii="Times New Roman" w:hAnsi="Times New Roman" w:cs="Times New Roman"/>
          <w:sz w:val="28"/>
          <w:szCs w:val="28"/>
        </w:rPr>
        <w:t>,</w:t>
      </w:r>
      <w:r w:rsidRPr="005A14CE">
        <w:rPr>
          <w:rFonts w:ascii="Times New Roman" w:hAnsi="Times New Roman" w:cs="Times New Roman"/>
          <w:sz w:val="28"/>
          <w:szCs w:val="28"/>
        </w:rPr>
        <w:t xml:space="preserve"> etc. in urban as well as rural areas</w:t>
      </w:r>
      <w:r w:rsidR="0017009E" w:rsidRPr="005A14CE">
        <w:rPr>
          <w:rFonts w:ascii="Times New Roman" w:hAnsi="Times New Roman" w:cs="Times New Roman"/>
          <w:sz w:val="28"/>
          <w:szCs w:val="28"/>
        </w:rPr>
        <w:t>, h</w:t>
      </w:r>
      <w:r w:rsidRPr="005A14CE">
        <w:rPr>
          <w:rFonts w:ascii="Times New Roman" w:hAnsi="Times New Roman" w:cs="Times New Roman"/>
          <w:sz w:val="28"/>
          <w:szCs w:val="28"/>
        </w:rPr>
        <w:t xml:space="preserve">owever </w:t>
      </w:r>
      <w:r w:rsidR="00DB700B" w:rsidRPr="005A14CE">
        <w:rPr>
          <w:rFonts w:ascii="Times New Roman" w:hAnsi="Times New Roman" w:cs="Times New Roman"/>
          <w:sz w:val="28"/>
          <w:szCs w:val="28"/>
        </w:rPr>
        <w:t xml:space="preserve">it is </w:t>
      </w:r>
      <w:r w:rsidRPr="005A14CE">
        <w:rPr>
          <w:rFonts w:ascii="Times New Roman" w:hAnsi="Times New Roman" w:cs="Times New Roman"/>
          <w:sz w:val="28"/>
          <w:szCs w:val="28"/>
        </w:rPr>
        <w:t xml:space="preserve">observed that </w:t>
      </w:r>
      <w:r w:rsidR="00DB700B" w:rsidRPr="005A14CE">
        <w:rPr>
          <w:rFonts w:ascii="Times New Roman" w:hAnsi="Times New Roman" w:cs="Times New Roman"/>
          <w:sz w:val="28"/>
          <w:szCs w:val="28"/>
        </w:rPr>
        <w:t>there are constraints in establishing such facilities as the cost incurred in acquiring the premises</w:t>
      </w:r>
      <w:r w:rsidR="0017009E" w:rsidRPr="005A14CE">
        <w:rPr>
          <w:rFonts w:ascii="Times New Roman" w:hAnsi="Times New Roman" w:cs="Times New Roman"/>
          <w:sz w:val="28"/>
          <w:szCs w:val="28"/>
        </w:rPr>
        <w:t>/land</w:t>
      </w:r>
      <w:r w:rsidR="00DB700B" w:rsidRPr="005A14CE">
        <w:rPr>
          <w:rFonts w:ascii="Times New Roman" w:hAnsi="Times New Roman" w:cs="Times New Roman"/>
          <w:sz w:val="28"/>
          <w:szCs w:val="28"/>
        </w:rPr>
        <w:t xml:space="preserve"> for such uses is very high in Settlement/commercial areas and therefore inquiries are made with the Department whether such uses could be permitted in other undevelopable zones such as Orchard land or properties under Natural Cover, etc.</w:t>
      </w:r>
    </w:p>
    <w:p w:rsidR="00DB700B" w:rsidRPr="005A14CE" w:rsidRDefault="00DB700B" w:rsidP="00DB700B">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Board observed that the request, although genuine, could be misused to certain extent and therefore </w:t>
      </w:r>
      <w:r w:rsidR="0017009E" w:rsidRPr="005A14CE">
        <w:rPr>
          <w:rFonts w:ascii="Times New Roman" w:hAnsi="Times New Roman" w:cs="Times New Roman"/>
          <w:sz w:val="28"/>
          <w:szCs w:val="28"/>
        </w:rPr>
        <w:t>requires</w:t>
      </w:r>
      <w:r w:rsidRPr="005A14CE">
        <w:rPr>
          <w:rFonts w:ascii="Times New Roman" w:hAnsi="Times New Roman" w:cs="Times New Roman"/>
          <w:sz w:val="28"/>
          <w:szCs w:val="28"/>
        </w:rPr>
        <w:t xml:space="preserve"> to be deliberated in detail by framing stringent guidelines to avoid the misuse.</w:t>
      </w:r>
    </w:p>
    <w:p w:rsidR="00DB700B" w:rsidRPr="005A14CE" w:rsidRDefault="00DB700B" w:rsidP="00DB700B">
      <w:pPr>
        <w:spacing w:after="20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decision on the subject was therefore deferred.</w:t>
      </w:r>
    </w:p>
    <w:p w:rsidR="00176941" w:rsidRPr="005A14CE" w:rsidRDefault="00176941" w:rsidP="00176941">
      <w:pPr>
        <w:pStyle w:val="ListParagraph"/>
        <w:spacing w:after="200"/>
        <w:ind w:hanging="720"/>
        <w:jc w:val="both"/>
        <w:rPr>
          <w:b/>
          <w:sz w:val="28"/>
          <w:szCs w:val="28"/>
        </w:rPr>
      </w:pPr>
    </w:p>
    <w:p w:rsidR="00176941" w:rsidRPr="005A14CE" w:rsidRDefault="00176941" w:rsidP="00176941">
      <w:pPr>
        <w:jc w:val="both"/>
        <w:rPr>
          <w:rFonts w:ascii="Times New Roman" w:hAnsi="Times New Roman" w:cs="Times New Roman"/>
          <w:b/>
          <w:sz w:val="28"/>
          <w:szCs w:val="28"/>
        </w:rPr>
      </w:pPr>
      <w:r w:rsidRPr="005A14CE">
        <w:rPr>
          <w:rFonts w:ascii="Times New Roman" w:hAnsi="Times New Roman" w:cs="Times New Roman"/>
          <w:b/>
          <w:sz w:val="28"/>
          <w:szCs w:val="28"/>
        </w:rPr>
        <w:t>Item No. 15: Regarding monitoring and assisting projects under Green Certification.</w:t>
      </w:r>
    </w:p>
    <w:p w:rsidR="00176941" w:rsidRPr="005A14CE" w:rsidRDefault="00DB700B" w:rsidP="00176941">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informed that t</w:t>
      </w:r>
      <w:r w:rsidR="00176941" w:rsidRPr="005A14CE">
        <w:rPr>
          <w:rFonts w:ascii="Times New Roman" w:hAnsi="Times New Roman" w:cs="Times New Roman"/>
          <w:sz w:val="28"/>
          <w:szCs w:val="28"/>
        </w:rPr>
        <w:t>he TCP Board in its past meetings have recommended several projects</w:t>
      </w:r>
      <w:r w:rsidR="0017009E" w:rsidRPr="005A14CE">
        <w:rPr>
          <w:rFonts w:ascii="Times New Roman" w:hAnsi="Times New Roman" w:cs="Times New Roman"/>
          <w:sz w:val="28"/>
          <w:szCs w:val="28"/>
        </w:rPr>
        <w:t>/landuses</w:t>
      </w:r>
      <w:r w:rsidR="00176941" w:rsidRPr="005A14CE">
        <w:rPr>
          <w:rFonts w:ascii="Times New Roman" w:hAnsi="Times New Roman" w:cs="Times New Roman"/>
          <w:sz w:val="28"/>
          <w:szCs w:val="28"/>
        </w:rPr>
        <w:t xml:space="preserve"> to be included under the Regulations and necessary further procedure in amending the Goa Land Development &amp; Building Constructions Regulations in undertaken.</w:t>
      </w:r>
    </w:p>
    <w:p w:rsidR="00176941" w:rsidRPr="005A14CE" w:rsidRDefault="00DB700B" w:rsidP="00176941">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It was informed that t</w:t>
      </w:r>
      <w:r w:rsidR="00176941" w:rsidRPr="005A14CE">
        <w:rPr>
          <w:rFonts w:ascii="Times New Roman" w:hAnsi="Times New Roman" w:cs="Times New Roman"/>
          <w:sz w:val="28"/>
          <w:szCs w:val="28"/>
        </w:rPr>
        <w:t>hese projects includes Golf Cent</w:t>
      </w:r>
      <w:r w:rsidR="0017009E" w:rsidRPr="005A14CE">
        <w:rPr>
          <w:rFonts w:ascii="Times New Roman" w:hAnsi="Times New Roman" w:cs="Times New Roman"/>
          <w:sz w:val="28"/>
          <w:szCs w:val="28"/>
        </w:rPr>
        <w:t>res, Film City and Film Studios</w:t>
      </w:r>
      <w:r w:rsidRPr="005A14CE">
        <w:rPr>
          <w:rFonts w:ascii="Times New Roman" w:hAnsi="Times New Roman" w:cs="Times New Roman"/>
          <w:sz w:val="28"/>
          <w:szCs w:val="28"/>
        </w:rPr>
        <w:t xml:space="preserve"> etc. and further informed that i</w:t>
      </w:r>
      <w:r w:rsidR="00176941" w:rsidRPr="005A14CE">
        <w:rPr>
          <w:rFonts w:ascii="Times New Roman" w:hAnsi="Times New Roman" w:cs="Times New Roman"/>
          <w:sz w:val="28"/>
          <w:szCs w:val="28"/>
        </w:rPr>
        <w:t>t is the decision of the Board to permit all these projects provided</w:t>
      </w:r>
      <w:r w:rsidRPr="005A14CE">
        <w:rPr>
          <w:rFonts w:ascii="Times New Roman" w:hAnsi="Times New Roman" w:cs="Times New Roman"/>
          <w:sz w:val="28"/>
          <w:szCs w:val="28"/>
        </w:rPr>
        <w:t xml:space="preserve"> they have Green Certification and the </w:t>
      </w:r>
      <w:r w:rsidR="00176941" w:rsidRPr="005A14CE">
        <w:rPr>
          <w:rFonts w:ascii="Times New Roman" w:hAnsi="Times New Roman" w:cs="Times New Roman"/>
          <w:sz w:val="28"/>
          <w:szCs w:val="28"/>
        </w:rPr>
        <w:t xml:space="preserve">compliance of </w:t>
      </w:r>
      <w:r w:rsidR="0017009E" w:rsidRPr="005A14CE">
        <w:rPr>
          <w:rFonts w:ascii="Times New Roman" w:hAnsi="Times New Roman" w:cs="Times New Roman"/>
          <w:sz w:val="28"/>
          <w:szCs w:val="28"/>
        </w:rPr>
        <w:t xml:space="preserve">this </w:t>
      </w:r>
      <w:r w:rsidR="00176941" w:rsidRPr="005A14CE">
        <w:rPr>
          <w:rFonts w:ascii="Times New Roman" w:hAnsi="Times New Roman" w:cs="Times New Roman"/>
          <w:sz w:val="28"/>
          <w:szCs w:val="28"/>
        </w:rPr>
        <w:t xml:space="preserve">Green Certification </w:t>
      </w:r>
      <w:r w:rsidRPr="005A14CE">
        <w:rPr>
          <w:rFonts w:ascii="Times New Roman" w:hAnsi="Times New Roman" w:cs="Times New Roman"/>
          <w:sz w:val="28"/>
          <w:szCs w:val="28"/>
        </w:rPr>
        <w:t>is required to</w:t>
      </w:r>
      <w:r w:rsidR="00176941" w:rsidRPr="005A14CE">
        <w:rPr>
          <w:rFonts w:ascii="Times New Roman" w:hAnsi="Times New Roman" w:cs="Times New Roman"/>
          <w:sz w:val="28"/>
          <w:szCs w:val="28"/>
        </w:rPr>
        <w:t xml:space="preserve"> be regularly monitored and Completion Certificate </w:t>
      </w:r>
      <w:r w:rsidR="0017009E" w:rsidRPr="005A14CE">
        <w:rPr>
          <w:rFonts w:ascii="Times New Roman" w:hAnsi="Times New Roman" w:cs="Times New Roman"/>
          <w:sz w:val="28"/>
          <w:szCs w:val="28"/>
        </w:rPr>
        <w:t xml:space="preserve">to be </w:t>
      </w:r>
      <w:r w:rsidR="00176941" w:rsidRPr="005A14CE">
        <w:rPr>
          <w:rFonts w:ascii="Times New Roman" w:hAnsi="Times New Roman" w:cs="Times New Roman"/>
          <w:sz w:val="28"/>
          <w:szCs w:val="28"/>
        </w:rPr>
        <w:t xml:space="preserve">issued only after verifying that </w:t>
      </w:r>
      <w:r w:rsidRPr="005A14CE">
        <w:rPr>
          <w:rFonts w:ascii="Times New Roman" w:hAnsi="Times New Roman" w:cs="Times New Roman"/>
          <w:sz w:val="28"/>
          <w:szCs w:val="28"/>
        </w:rPr>
        <w:t>such</w:t>
      </w:r>
      <w:r w:rsidR="00176941" w:rsidRPr="005A14CE">
        <w:rPr>
          <w:rFonts w:ascii="Times New Roman" w:hAnsi="Times New Roman" w:cs="Times New Roman"/>
          <w:sz w:val="28"/>
          <w:szCs w:val="28"/>
        </w:rPr>
        <w:t xml:space="preserve"> projects are in compliance with Green Certification. The Board has already decided that services of IGBC shall be obtained for the Green Certification. </w:t>
      </w:r>
    </w:p>
    <w:p w:rsidR="00176941" w:rsidRPr="005A14CE" w:rsidRDefault="00DB700B" w:rsidP="00176941">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Board was </w:t>
      </w:r>
      <w:r w:rsidR="0017009E" w:rsidRPr="005A14CE">
        <w:rPr>
          <w:rFonts w:ascii="Times New Roman" w:hAnsi="Times New Roman" w:cs="Times New Roman"/>
          <w:sz w:val="28"/>
          <w:szCs w:val="28"/>
        </w:rPr>
        <w:t xml:space="preserve">further </w:t>
      </w:r>
      <w:r w:rsidRPr="005A14CE">
        <w:rPr>
          <w:rFonts w:ascii="Times New Roman" w:hAnsi="Times New Roman" w:cs="Times New Roman"/>
          <w:sz w:val="28"/>
          <w:szCs w:val="28"/>
        </w:rPr>
        <w:t xml:space="preserve">informed that </w:t>
      </w:r>
      <w:r w:rsidR="00176941" w:rsidRPr="005A14CE">
        <w:rPr>
          <w:rFonts w:ascii="Times New Roman" w:hAnsi="Times New Roman" w:cs="Times New Roman"/>
          <w:sz w:val="28"/>
          <w:szCs w:val="28"/>
        </w:rPr>
        <w:t>Mrs. Swati Salgaonkar, Chairman CII shall render her assistance to the TCP Department and Pla</w:t>
      </w:r>
      <w:r w:rsidR="0017009E" w:rsidRPr="005A14CE">
        <w:rPr>
          <w:rFonts w:ascii="Times New Roman" w:hAnsi="Times New Roman" w:cs="Times New Roman"/>
          <w:sz w:val="28"/>
          <w:szCs w:val="28"/>
        </w:rPr>
        <w:t>nning &amp; Development Authorities in this regard.</w:t>
      </w:r>
    </w:p>
    <w:p w:rsidR="00DB700B" w:rsidRPr="005A14CE" w:rsidRDefault="00DB700B" w:rsidP="00DB700B">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lastRenderedPageBreak/>
        <w:t xml:space="preserve">Considering the importance of the subject and various new uses that may come up in State of Goa, such as Golf Centres, Film City, Film Studios, residential schools, Yoga &amp; Meditation Centres, etc., the Board proposed that </w:t>
      </w:r>
      <w:r w:rsidR="0017009E" w:rsidRPr="005A14CE">
        <w:rPr>
          <w:rFonts w:ascii="Times New Roman" w:hAnsi="Times New Roman" w:cs="Times New Roman"/>
          <w:sz w:val="28"/>
          <w:szCs w:val="28"/>
        </w:rPr>
        <w:t>a</w:t>
      </w:r>
      <w:r w:rsidRPr="005A14CE">
        <w:rPr>
          <w:rFonts w:ascii="Times New Roman" w:hAnsi="Times New Roman" w:cs="Times New Roman"/>
          <w:sz w:val="28"/>
          <w:szCs w:val="28"/>
        </w:rPr>
        <w:t xml:space="preserve"> Committee be set up </w:t>
      </w:r>
      <w:r w:rsidR="00176941" w:rsidRPr="005A14CE">
        <w:rPr>
          <w:rFonts w:ascii="Times New Roman" w:hAnsi="Times New Roman" w:cs="Times New Roman"/>
          <w:sz w:val="28"/>
          <w:szCs w:val="28"/>
        </w:rPr>
        <w:t xml:space="preserve">for </w:t>
      </w:r>
      <w:r w:rsidR="00057332" w:rsidRPr="005A14CE">
        <w:rPr>
          <w:rFonts w:ascii="Times New Roman" w:hAnsi="Times New Roman" w:cs="Times New Roman"/>
          <w:sz w:val="28"/>
          <w:szCs w:val="28"/>
        </w:rPr>
        <w:t xml:space="preserve">the purpose of </w:t>
      </w:r>
      <w:r w:rsidR="00176941" w:rsidRPr="005A14CE">
        <w:rPr>
          <w:rFonts w:ascii="Times New Roman" w:hAnsi="Times New Roman" w:cs="Times New Roman"/>
          <w:sz w:val="28"/>
          <w:szCs w:val="28"/>
        </w:rPr>
        <w:t>Sustainable Planning and Building Practices/ Initiatives</w:t>
      </w:r>
      <w:r w:rsidRPr="005A14CE">
        <w:rPr>
          <w:rFonts w:ascii="Times New Roman" w:hAnsi="Times New Roman" w:cs="Times New Roman"/>
          <w:sz w:val="28"/>
          <w:szCs w:val="28"/>
        </w:rPr>
        <w:t>.</w:t>
      </w:r>
      <w:r w:rsidR="00176941" w:rsidRPr="005A14CE">
        <w:rPr>
          <w:rFonts w:ascii="Times New Roman" w:hAnsi="Times New Roman" w:cs="Times New Roman"/>
          <w:sz w:val="28"/>
          <w:szCs w:val="28"/>
        </w:rPr>
        <w:t xml:space="preserve"> </w:t>
      </w:r>
    </w:p>
    <w:p w:rsidR="00176941" w:rsidRDefault="00DB700B" w:rsidP="00DB700B">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After deliberation</w:t>
      </w:r>
      <w:r w:rsidR="00057332" w:rsidRPr="005A14CE">
        <w:rPr>
          <w:rFonts w:ascii="Times New Roman" w:hAnsi="Times New Roman" w:cs="Times New Roman"/>
          <w:sz w:val="28"/>
          <w:szCs w:val="28"/>
        </w:rPr>
        <w:t>,</w:t>
      </w:r>
      <w:r w:rsidRPr="005A14CE">
        <w:rPr>
          <w:rFonts w:ascii="Times New Roman" w:hAnsi="Times New Roman" w:cs="Times New Roman"/>
          <w:sz w:val="28"/>
          <w:szCs w:val="28"/>
        </w:rPr>
        <w:t xml:space="preserve"> following was the </w:t>
      </w:r>
      <w:r w:rsidR="00176941" w:rsidRPr="005A14CE">
        <w:rPr>
          <w:rFonts w:ascii="Times New Roman" w:hAnsi="Times New Roman" w:cs="Times New Roman"/>
          <w:sz w:val="28"/>
          <w:szCs w:val="28"/>
        </w:rPr>
        <w:t xml:space="preserve">committee </w:t>
      </w:r>
      <w:r w:rsidRPr="005A14CE">
        <w:rPr>
          <w:rFonts w:ascii="Times New Roman" w:hAnsi="Times New Roman" w:cs="Times New Roman"/>
          <w:sz w:val="28"/>
          <w:szCs w:val="28"/>
        </w:rPr>
        <w:t>constituted</w:t>
      </w:r>
      <w:r w:rsidR="00C50C43" w:rsidRPr="005A14CE">
        <w:rPr>
          <w:rFonts w:ascii="Times New Roman" w:hAnsi="Times New Roman" w:cs="Times New Roman"/>
          <w:sz w:val="28"/>
          <w:szCs w:val="28"/>
        </w:rPr>
        <w:t xml:space="preserve"> for implementing and monitoring Sustainable Planning and Building Practices/ Initiatives</w:t>
      </w:r>
      <w:r w:rsidR="00176941" w:rsidRPr="005A14CE">
        <w:rPr>
          <w:rFonts w:ascii="Times New Roman" w:hAnsi="Times New Roman" w:cs="Times New Roman"/>
          <w:sz w:val="28"/>
          <w:szCs w:val="28"/>
        </w:rPr>
        <w:t xml:space="preserve">: </w:t>
      </w: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140"/>
        <w:gridCol w:w="540"/>
        <w:gridCol w:w="3150"/>
      </w:tblGrid>
      <w:tr w:rsidR="001E28ED" w:rsidRPr="001E28ED" w:rsidTr="001E28ED">
        <w:tc>
          <w:tcPr>
            <w:tcW w:w="738" w:type="dxa"/>
          </w:tcPr>
          <w:p w:rsidR="001E28ED" w:rsidRPr="001E28ED" w:rsidRDefault="001E28ED" w:rsidP="001E28ED">
            <w:pPr>
              <w:pStyle w:val="NoSpacing"/>
              <w:rPr>
                <w:rFonts w:ascii="Times New Roman" w:hAnsi="Times New Roman" w:cs="Times New Roman"/>
                <w:sz w:val="28"/>
                <w:szCs w:val="28"/>
              </w:rPr>
            </w:pPr>
            <w:r>
              <w:rPr>
                <w:rFonts w:ascii="Times New Roman" w:hAnsi="Times New Roman" w:cs="Times New Roman"/>
                <w:sz w:val="28"/>
                <w:szCs w:val="28"/>
              </w:rPr>
              <w:t>1.</w:t>
            </w:r>
          </w:p>
        </w:tc>
        <w:tc>
          <w:tcPr>
            <w:tcW w:w="4140" w:type="dxa"/>
          </w:tcPr>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 xml:space="preserve">Mrs. Swati Salgaonkar </w:t>
            </w:r>
          </w:p>
          <w:p w:rsidR="001E28ED" w:rsidRPr="001E28ED" w:rsidRDefault="001E28ED" w:rsidP="001E28ED">
            <w:pPr>
              <w:pStyle w:val="NoSpacing"/>
              <w:rPr>
                <w:rFonts w:ascii="Times New Roman" w:hAnsi="Times New Roman" w:cs="Times New Roman"/>
                <w:sz w:val="18"/>
                <w:szCs w:val="28"/>
              </w:rPr>
            </w:pPr>
            <w:r w:rsidRPr="001E28ED">
              <w:rPr>
                <w:rFonts w:ascii="Times New Roman" w:hAnsi="Times New Roman" w:cs="Times New Roman"/>
                <w:sz w:val="28"/>
                <w:szCs w:val="28"/>
              </w:rPr>
              <w:t xml:space="preserve"> </w:t>
            </w: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Chairperson</w:t>
            </w:r>
          </w:p>
        </w:tc>
      </w:tr>
      <w:tr w:rsidR="001E28ED" w:rsidRPr="001E28ED" w:rsidTr="001E28ED">
        <w:tc>
          <w:tcPr>
            <w:tcW w:w="738" w:type="dxa"/>
          </w:tcPr>
          <w:p w:rsidR="001E28ED" w:rsidRPr="001E28ED" w:rsidRDefault="00DB087E" w:rsidP="001E28ED">
            <w:pPr>
              <w:pStyle w:val="NoSpacing"/>
              <w:rPr>
                <w:rFonts w:ascii="Times New Roman" w:hAnsi="Times New Roman" w:cs="Times New Roman"/>
                <w:sz w:val="28"/>
                <w:szCs w:val="28"/>
              </w:rPr>
            </w:pPr>
            <w:r>
              <w:rPr>
                <w:rFonts w:ascii="Times New Roman" w:hAnsi="Times New Roman" w:cs="Times New Roman"/>
                <w:sz w:val="28"/>
                <w:szCs w:val="28"/>
              </w:rPr>
              <w:t>2</w:t>
            </w:r>
            <w:r w:rsidR="001E28ED">
              <w:rPr>
                <w:rFonts w:ascii="Times New Roman" w:hAnsi="Times New Roman" w:cs="Times New Roman"/>
                <w:sz w:val="28"/>
                <w:szCs w:val="28"/>
              </w:rPr>
              <w:t>.</w:t>
            </w:r>
          </w:p>
        </w:tc>
        <w:tc>
          <w:tcPr>
            <w:tcW w:w="4140" w:type="dxa"/>
          </w:tcPr>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Mr. Kapil Gupta,</w:t>
            </w:r>
            <w:r w:rsidRPr="001E28ED">
              <w:rPr>
                <w:rFonts w:ascii="Times New Roman" w:hAnsi="Times New Roman" w:cs="Times New Roman"/>
                <w:sz w:val="28"/>
                <w:szCs w:val="28"/>
              </w:rPr>
              <w:tab/>
              <w:t xml:space="preserve">   </w:t>
            </w:r>
          </w:p>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 xml:space="preserve">Founding Principal, </w:t>
            </w:r>
          </w:p>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Serie Architects</w:t>
            </w:r>
          </w:p>
          <w:p w:rsidR="001E28ED" w:rsidRPr="001E28ED" w:rsidRDefault="001E28ED" w:rsidP="001E28ED">
            <w:pPr>
              <w:pStyle w:val="NoSpacing"/>
              <w:rPr>
                <w:rFonts w:ascii="Times New Roman" w:hAnsi="Times New Roman" w:cs="Times New Roman"/>
                <w:sz w:val="18"/>
                <w:szCs w:val="28"/>
              </w:rPr>
            </w:pP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Member</w:t>
            </w:r>
          </w:p>
        </w:tc>
      </w:tr>
      <w:tr w:rsidR="001E28ED" w:rsidRPr="001E28ED" w:rsidTr="001E28ED">
        <w:tc>
          <w:tcPr>
            <w:tcW w:w="738" w:type="dxa"/>
          </w:tcPr>
          <w:p w:rsidR="001E28ED" w:rsidRPr="001E28ED" w:rsidRDefault="00DB087E" w:rsidP="001E28ED">
            <w:pPr>
              <w:pStyle w:val="NoSpacing"/>
              <w:rPr>
                <w:rFonts w:ascii="Times New Roman" w:hAnsi="Times New Roman" w:cs="Times New Roman"/>
                <w:sz w:val="28"/>
                <w:szCs w:val="28"/>
              </w:rPr>
            </w:pPr>
            <w:r>
              <w:rPr>
                <w:rFonts w:ascii="Times New Roman" w:hAnsi="Times New Roman" w:cs="Times New Roman"/>
                <w:sz w:val="28"/>
                <w:szCs w:val="28"/>
              </w:rPr>
              <w:t>3</w:t>
            </w:r>
            <w:r w:rsidR="001E28ED">
              <w:rPr>
                <w:rFonts w:ascii="Times New Roman" w:hAnsi="Times New Roman" w:cs="Times New Roman"/>
                <w:sz w:val="28"/>
                <w:szCs w:val="28"/>
              </w:rPr>
              <w:t>.</w:t>
            </w:r>
          </w:p>
        </w:tc>
        <w:tc>
          <w:tcPr>
            <w:tcW w:w="41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Mr. S. Karthikeyen,</w:t>
            </w:r>
            <w:r w:rsidRPr="001E28ED">
              <w:rPr>
                <w:rFonts w:ascii="Times New Roman" w:hAnsi="Times New Roman" w:cs="Times New Roman"/>
                <w:sz w:val="28"/>
                <w:szCs w:val="28"/>
              </w:rPr>
              <w:tab/>
            </w:r>
          </w:p>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 xml:space="preserve">Dy. Executive Director, </w:t>
            </w:r>
          </w:p>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CII Godrej Green Building Centre</w:t>
            </w:r>
          </w:p>
          <w:p w:rsidR="000E4B47" w:rsidRPr="000E4B47" w:rsidRDefault="000E4B47" w:rsidP="001E28ED">
            <w:pPr>
              <w:pStyle w:val="NoSpacing"/>
              <w:rPr>
                <w:rFonts w:ascii="Times New Roman" w:hAnsi="Times New Roman" w:cs="Times New Roman"/>
                <w:sz w:val="18"/>
                <w:szCs w:val="28"/>
              </w:rPr>
            </w:pP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Member</w:t>
            </w:r>
          </w:p>
        </w:tc>
      </w:tr>
      <w:tr w:rsidR="001E28ED" w:rsidRPr="001E28ED" w:rsidTr="001E28ED">
        <w:tc>
          <w:tcPr>
            <w:tcW w:w="738" w:type="dxa"/>
          </w:tcPr>
          <w:p w:rsidR="001E28ED" w:rsidRPr="001E28ED" w:rsidRDefault="00DB087E" w:rsidP="001E28ED">
            <w:pPr>
              <w:pStyle w:val="NoSpacing"/>
              <w:rPr>
                <w:rFonts w:ascii="Times New Roman" w:hAnsi="Times New Roman" w:cs="Times New Roman"/>
                <w:sz w:val="28"/>
                <w:szCs w:val="28"/>
              </w:rPr>
            </w:pPr>
            <w:r>
              <w:rPr>
                <w:rFonts w:ascii="Times New Roman" w:hAnsi="Times New Roman" w:cs="Times New Roman"/>
                <w:sz w:val="28"/>
                <w:szCs w:val="28"/>
              </w:rPr>
              <w:t>4</w:t>
            </w:r>
            <w:r w:rsidR="001E28ED">
              <w:rPr>
                <w:rFonts w:ascii="Times New Roman" w:hAnsi="Times New Roman" w:cs="Times New Roman"/>
                <w:sz w:val="28"/>
                <w:szCs w:val="28"/>
              </w:rPr>
              <w:t>.</w:t>
            </w:r>
          </w:p>
        </w:tc>
        <w:tc>
          <w:tcPr>
            <w:tcW w:w="4140" w:type="dxa"/>
          </w:tcPr>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Mr. Rajeev Sukht</w:t>
            </w:r>
            <w:r>
              <w:rPr>
                <w:rFonts w:ascii="Times New Roman" w:hAnsi="Times New Roman" w:cs="Times New Roman"/>
                <w:sz w:val="28"/>
                <w:szCs w:val="28"/>
              </w:rPr>
              <w:t>h</w:t>
            </w:r>
            <w:r w:rsidRPr="001E28ED">
              <w:rPr>
                <w:rFonts w:ascii="Times New Roman" w:hAnsi="Times New Roman" w:cs="Times New Roman"/>
                <w:sz w:val="28"/>
                <w:szCs w:val="28"/>
              </w:rPr>
              <w:t>ankar</w:t>
            </w:r>
            <w:r w:rsidRPr="001E28ED">
              <w:rPr>
                <w:rFonts w:ascii="Times New Roman" w:hAnsi="Times New Roman" w:cs="Times New Roman"/>
                <w:sz w:val="28"/>
                <w:szCs w:val="28"/>
              </w:rPr>
              <w:tab/>
            </w:r>
          </w:p>
          <w:p w:rsidR="001E28ED" w:rsidRPr="001E28ED" w:rsidRDefault="001E28ED" w:rsidP="001E28ED">
            <w:pPr>
              <w:pStyle w:val="NoSpacing"/>
              <w:rPr>
                <w:rFonts w:ascii="Times New Roman" w:hAnsi="Times New Roman" w:cs="Times New Roman"/>
                <w:sz w:val="18"/>
                <w:szCs w:val="28"/>
              </w:rPr>
            </w:pP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Member</w:t>
            </w:r>
          </w:p>
        </w:tc>
      </w:tr>
      <w:tr w:rsidR="001E28ED" w:rsidRPr="001E28ED" w:rsidTr="001E28ED">
        <w:tc>
          <w:tcPr>
            <w:tcW w:w="738" w:type="dxa"/>
          </w:tcPr>
          <w:p w:rsidR="001E28ED" w:rsidRPr="001E28ED" w:rsidRDefault="00DB087E" w:rsidP="001E28ED">
            <w:pPr>
              <w:pStyle w:val="NoSpacing"/>
              <w:rPr>
                <w:rFonts w:ascii="Times New Roman" w:hAnsi="Times New Roman" w:cs="Times New Roman"/>
                <w:sz w:val="28"/>
                <w:szCs w:val="28"/>
              </w:rPr>
            </w:pPr>
            <w:r>
              <w:rPr>
                <w:rFonts w:ascii="Times New Roman" w:hAnsi="Times New Roman" w:cs="Times New Roman"/>
                <w:sz w:val="28"/>
                <w:szCs w:val="28"/>
              </w:rPr>
              <w:t>5</w:t>
            </w:r>
            <w:r w:rsidR="001E28ED">
              <w:rPr>
                <w:rFonts w:ascii="Times New Roman" w:hAnsi="Times New Roman" w:cs="Times New Roman"/>
                <w:sz w:val="28"/>
                <w:szCs w:val="28"/>
              </w:rPr>
              <w:t>.</w:t>
            </w:r>
          </w:p>
        </w:tc>
        <w:tc>
          <w:tcPr>
            <w:tcW w:w="41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Ms. Vertika Dagur,</w:t>
            </w:r>
          </w:p>
          <w:p w:rsid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Senior Town Planner(HQ)</w:t>
            </w:r>
          </w:p>
          <w:p w:rsidR="001E28ED" w:rsidRPr="001E28ED" w:rsidRDefault="001E28ED" w:rsidP="001E28ED">
            <w:pPr>
              <w:pStyle w:val="NoSpacing"/>
              <w:rPr>
                <w:rFonts w:ascii="Times New Roman" w:hAnsi="Times New Roman" w:cs="Times New Roman"/>
                <w:sz w:val="18"/>
                <w:szCs w:val="28"/>
              </w:rPr>
            </w:pP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Member</w:t>
            </w:r>
          </w:p>
        </w:tc>
      </w:tr>
      <w:tr w:rsidR="001E28ED" w:rsidRPr="001E28ED" w:rsidTr="001E28ED">
        <w:tc>
          <w:tcPr>
            <w:tcW w:w="738" w:type="dxa"/>
          </w:tcPr>
          <w:p w:rsidR="001E28ED" w:rsidRPr="001E28ED" w:rsidRDefault="00DB087E" w:rsidP="00DB087E">
            <w:pPr>
              <w:pStyle w:val="NoSpacing"/>
              <w:rPr>
                <w:rFonts w:ascii="Times New Roman" w:hAnsi="Times New Roman" w:cs="Times New Roman"/>
                <w:sz w:val="28"/>
                <w:szCs w:val="28"/>
              </w:rPr>
            </w:pPr>
            <w:r>
              <w:rPr>
                <w:rFonts w:ascii="Times New Roman" w:hAnsi="Times New Roman" w:cs="Times New Roman"/>
                <w:sz w:val="28"/>
                <w:szCs w:val="28"/>
              </w:rPr>
              <w:t>6</w:t>
            </w:r>
            <w:bookmarkStart w:id="0" w:name="_GoBack"/>
            <w:bookmarkEnd w:id="0"/>
            <w:r w:rsidR="001E28ED">
              <w:rPr>
                <w:rFonts w:ascii="Times New Roman" w:hAnsi="Times New Roman" w:cs="Times New Roman"/>
                <w:sz w:val="28"/>
                <w:szCs w:val="28"/>
              </w:rPr>
              <w:t>.</w:t>
            </w:r>
          </w:p>
        </w:tc>
        <w:tc>
          <w:tcPr>
            <w:tcW w:w="41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Shri Rajesh Naik,</w:t>
            </w:r>
          </w:p>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Chief Town Planner (Planning)</w:t>
            </w:r>
          </w:p>
        </w:tc>
        <w:tc>
          <w:tcPr>
            <w:tcW w:w="54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w:t>
            </w:r>
          </w:p>
        </w:tc>
        <w:tc>
          <w:tcPr>
            <w:tcW w:w="3150" w:type="dxa"/>
          </w:tcPr>
          <w:p w:rsidR="001E28ED" w:rsidRPr="001E28ED" w:rsidRDefault="001E28ED" w:rsidP="001E28ED">
            <w:pPr>
              <w:pStyle w:val="NoSpacing"/>
              <w:rPr>
                <w:rFonts w:ascii="Times New Roman" w:hAnsi="Times New Roman" w:cs="Times New Roman"/>
                <w:sz w:val="28"/>
                <w:szCs w:val="28"/>
              </w:rPr>
            </w:pPr>
            <w:r w:rsidRPr="001E28ED">
              <w:rPr>
                <w:rFonts w:ascii="Times New Roman" w:hAnsi="Times New Roman" w:cs="Times New Roman"/>
                <w:sz w:val="28"/>
                <w:szCs w:val="28"/>
              </w:rPr>
              <w:t>Member Secretary</w:t>
            </w:r>
            <w:r w:rsidRPr="001E28ED">
              <w:rPr>
                <w:rFonts w:ascii="Times New Roman" w:hAnsi="Times New Roman" w:cs="Times New Roman"/>
                <w:sz w:val="28"/>
                <w:szCs w:val="28"/>
              </w:rPr>
              <w:tab/>
            </w:r>
          </w:p>
        </w:tc>
      </w:tr>
    </w:tbl>
    <w:p w:rsidR="00176941" w:rsidRPr="005A14CE" w:rsidRDefault="00C50C43" w:rsidP="00C50C43">
      <w:pPr>
        <w:pStyle w:val="ListParagraph"/>
        <w:spacing w:after="200"/>
        <w:ind w:left="1080"/>
        <w:jc w:val="both"/>
        <w:rPr>
          <w:sz w:val="28"/>
          <w:szCs w:val="28"/>
        </w:rPr>
      </w:pPr>
      <w:r w:rsidRPr="005A14CE">
        <w:rPr>
          <w:sz w:val="28"/>
          <w:szCs w:val="28"/>
        </w:rPr>
        <w:tab/>
      </w:r>
      <w:r w:rsidRPr="005A14CE">
        <w:rPr>
          <w:sz w:val="28"/>
          <w:szCs w:val="28"/>
        </w:rPr>
        <w:tab/>
      </w:r>
      <w:r w:rsidRPr="005A14CE">
        <w:rPr>
          <w:sz w:val="28"/>
          <w:szCs w:val="28"/>
        </w:rPr>
        <w:tab/>
      </w:r>
    </w:p>
    <w:p w:rsidR="00176941" w:rsidRPr="001E28ED" w:rsidRDefault="00176941" w:rsidP="00176941">
      <w:pPr>
        <w:pStyle w:val="ListParagraph"/>
        <w:spacing w:after="200"/>
        <w:ind w:hanging="720"/>
        <w:jc w:val="both"/>
        <w:rPr>
          <w:b/>
          <w:sz w:val="10"/>
          <w:szCs w:val="28"/>
        </w:rPr>
      </w:pPr>
    </w:p>
    <w:p w:rsidR="00C50C43" w:rsidRPr="005A14CE" w:rsidRDefault="00C50C43" w:rsidP="00C50C43">
      <w:pPr>
        <w:pStyle w:val="ListParagraph"/>
        <w:spacing w:after="200" w:line="360" w:lineRule="auto"/>
        <w:ind w:left="0" w:firstLine="720"/>
        <w:jc w:val="both"/>
        <w:rPr>
          <w:sz w:val="28"/>
          <w:szCs w:val="28"/>
        </w:rPr>
      </w:pPr>
      <w:r w:rsidRPr="005A14CE">
        <w:rPr>
          <w:sz w:val="28"/>
          <w:szCs w:val="28"/>
        </w:rPr>
        <w:t xml:space="preserve">Member Secretary was accordingly directed to issue order in this regard, after having discussions with the concerned </w:t>
      </w:r>
      <w:r w:rsidR="00057332" w:rsidRPr="005A14CE">
        <w:rPr>
          <w:sz w:val="28"/>
          <w:szCs w:val="28"/>
        </w:rPr>
        <w:t>members</w:t>
      </w:r>
      <w:r w:rsidRPr="005A14CE">
        <w:rPr>
          <w:sz w:val="28"/>
          <w:szCs w:val="28"/>
        </w:rPr>
        <w:t xml:space="preserve"> in this regard.</w:t>
      </w:r>
    </w:p>
    <w:p w:rsidR="00C50C43" w:rsidRPr="005A14CE" w:rsidRDefault="00C50C43" w:rsidP="00176941">
      <w:pPr>
        <w:pStyle w:val="ListParagraph"/>
        <w:spacing w:after="200"/>
        <w:ind w:hanging="720"/>
        <w:jc w:val="both"/>
        <w:rPr>
          <w:b/>
          <w:sz w:val="28"/>
          <w:szCs w:val="28"/>
        </w:rPr>
      </w:pPr>
    </w:p>
    <w:p w:rsidR="00C50C43" w:rsidRPr="005A14CE" w:rsidRDefault="00C50C43" w:rsidP="00176941">
      <w:pPr>
        <w:pStyle w:val="ListParagraph"/>
        <w:spacing w:after="200"/>
        <w:ind w:hanging="720"/>
        <w:jc w:val="both"/>
        <w:rPr>
          <w:b/>
          <w:sz w:val="28"/>
          <w:szCs w:val="28"/>
        </w:rPr>
      </w:pPr>
    </w:p>
    <w:p w:rsidR="00176941" w:rsidRPr="005A14CE" w:rsidRDefault="00176941" w:rsidP="00176941">
      <w:pPr>
        <w:pStyle w:val="ListParagraph"/>
        <w:spacing w:after="200"/>
        <w:ind w:hanging="720"/>
        <w:jc w:val="both"/>
        <w:rPr>
          <w:b/>
          <w:sz w:val="28"/>
          <w:szCs w:val="28"/>
        </w:rPr>
      </w:pPr>
      <w:r w:rsidRPr="005A14CE">
        <w:rPr>
          <w:b/>
          <w:sz w:val="28"/>
          <w:szCs w:val="28"/>
        </w:rPr>
        <w:t>Item No. 16: Any other item with permission of the Chair.</w:t>
      </w:r>
    </w:p>
    <w:p w:rsidR="000872C4" w:rsidRPr="005A14CE" w:rsidRDefault="000872C4" w:rsidP="000872C4">
      <w:pPr>
        <w:spacing w:line="360" w:lineRule="auto"/>
        <w:jc w:val="both"/>
        <w:rPr>
          <w:rFonts w:ascii="Times New Roman" w:hAnsi="Times New Roman" w:cs="Times New Roman"/>
          <w:b/>
          <w:sz w:val="28"/>
          <w:szCs w:val="28"/>
        </w:rPr>
      </w:pPr>
      <w:r w:rsidRPr="005A14CE">
        <w:rPr>
          <w:rFonts w:ascii="Times New Roman" w:hAnsi="Times New Roman" w:cs="Times New Roman"/>
          <w:b/>
          <w:sz w:val="28"/>
          <w:szCs w:val="28"/>
        </w:rPr>
        <w:t>a) Preparation of Zoning Plan:</w:t>
      </w:r>
    </w:p>
    <w:p w:rsidR="00DD2986" w:rsidRPr="005A14CE" w:rsidRDefault="00DD2986" w:rsidP="000872C4">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Member Secretary informed the Board that</w:t>
      </w:r>
      <w:r w:rsidR="00D7052A" w:rsidRPr="005A14CE">
        <w:rPr>
          <w:rFonts w:ascii="Times New Roman" w:hAnsi="Times New Roman" w:cs="Times New Roman"/>
          <w:sz w:val="28"/>
          <w:szCs w:val="28"/>
        </w:rPr>
        <w:t xml:space="preserve"> amendment  of Section 2 of TCP Act, 1974 has been affected by the Legislative Assembly, whereby new Section 17D and Section 17E have been inserted pertaining to the power of Government to direct Chief Town Planner (Planning) to prepare a zoning plan and regarding contents of the zoning plan respectively.  </w:t>
      </w:r>
    </w:p>
    <w:p w:rsidR="000C3BD6" w:rsidRPr="005A14CE" w:rsidRDefault="00D7052A"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Board was informed that as per Section 17D, the Government </w:t>
      </w:r>
      <w:r w:rsidR="00276F9A" w:rsidRPr="005A14CE">
        <w:rPr>
          <w:rFonts w:ascii="Times New Roman" w:hAnsi="Times New Roman" w:cs="Times New Roman"/>
          <w:sz w:val="28"/>
          <w:szCs w:val="28"/>
        </w:rPr>
        <w:t>can direct the Chief Town Planner (Planning) to prepare a Zoning Plan in respect of the whole or any part or parts of the local planning area</w:t>
      </w:r>
      <w:r w:rsidR="000C3BD6" w:rsidRPr="005A14CE">
        <w:rPr>
          <w:rFonts w:ascii="Times New Roman" w:hAnsi="Times New Roman" w:cs="Times New Roman"/>
          <w:sz w:val="28"/>
          <w:szCs w:val="28"/>
        </w:rPr>
        <w:t xml:space="preserve"> and the same is required to </w:t>
      </w:r>
      <w:r w:rsidR="00276F9A" w:rsidRPr="005A14CE">
        <w:rPr>
          <w:rFonts w:ascii="Times New Roman" w:hAnsi="Times New Roman" w:cs="Times New Roman"/>
          <w:sz w:val="28"/>
          <w:szCs w:val="28"/>
        </w:rPr>
        <w:t xml:space="preserve">be prepared after consultation with the concerned local authority </w:t>
      </w:r>
      <w:r w:rsidR="00276F9A" w:rsidRPr="005A14CE">
        <w:rPr>
          <w:rFonts w:ascii="Times New Roman" w:hAnsi="Times New Roman" w:cs="Times New Roman"/>
          <w:sz w:val="28"/>
          <w:szCs w:val="28"/>
        </w:rPr>
        <w:lastRenderedPageBreak/>
        <w:t xml:space="preserve">or authorities and </w:t>
      </w:r>
      <w:r w:rsidR="000C3BD6" w:rsidRPr="005A14CE">
        <w:rPr>
          <w:rFonts w:ascii="Times New Roman" w:hAnsi="Times New Roman" w:cs="Times New Roman"/>
          <w:sz w:val="28"/>
          <w:szCs w:val="28"/>
        </w:rPr>
        <w:t xml:space="preserve">the same is required to be </w:t>
      </w:r>
      <w:r w:rsidR="00276F9A" w:rsidRPr="005A14CE">
        <w:rPr>
          <w:rFonts w:ascii="Times New Roman" w:hAnsi="Times New Roman" w:cs="Times New Roman"/>
          <w:sz w:val="28"/>
          <w:szCs w:val="28"/>
        </w:rPr>
        <w:t xml:space="preserve">within the broad framework of </w:t>
      </w:r>
      <w:r w:rsidR="000872C4" w:rsidRPr="005A14CE">
        <w:rPr>
          <w:rFonts w:ascii="Times New Roman" w:hAnsi="Times New Roman" w:cs="Times New Roman"/>
          <w:sz w:val="28"/>
          <w:szCs w:val="28"/>
        </w:rPr>
        <w:t>Regional Plan</w:t>
      </w:r>
      <w:r w:rsidR="00276F9A" w:rsidRPr="005A14CE">
        <w:rPr>
          <w:rFonts w:ascii="Times New Roman" w:hAnsi="Times New Roman" w:cs="Times New Roman"/>
          <w:sz w:val="28"/>
          <w:szCs w:val="28"/>
        </w:rPr>
        <w:t xml:space="preserve">. </w:t>
      </w:r>
    </w:p>
    <w:p w:rsidR="000E4B47" w:rsidRDefault="000C3BD6" w:rsidP="00AE412F">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As regards to contents, it was informed that the </w:t>
      </w:r>
      <w:r w:rsidR="00276F9A" w:rsidRPr="005A14CE">
        <w:rPr>
          <w:rFonts w:ascii="Times New Roman" w:hAnsi="Times New Roman" w:cs="Times New Roman"/>
          <w:sz w:val="28"/>
          <w:szCs w:val="28"/>
        </w:rPr>
        <w:t>Zoning Plan shall</w:t>
      </w:r>
      <w:r w:rsidRPr="005A14CE">
        <w:rPr>
          <w:rFonts w:ascii="Times New Roman" w:hAnsi="Times New Roman" w:cs="Times New Roman"/>
          <w:sz w:val="28"/>
          <w:szCs w:val="28"/>
        </w:rPr>
        <w:t xml:space="preserve"> (a) </w:t>
      </w:r>
      <w:r w:rsidR="00276F9A" w:rsidRPr="005A14CE">
        <w:rPr>
          <w:rFonts w:ascii="Times New Roman" w:hAnsi="Times New Roman" w:cs="Times New Roman"/>
          <w:sz w:val="28"/>
          <w:szCs w:val="28"/>
        </w:rPr>
        <w:t>indicate, define and provide for all the matters that have to be, or may be, indicated, defined and provided for in the regional plan with such modifications as the Government deems fit; (b) indicate, define and provide for— (i) areas to be reserved for agriculture, public and semi-public open spaces, parks, playgrounds, gardens, and other recreational uses, green belts and natural reserves; (ii) comprehensive land allocation of areas or zones for residential, commercial, industrial, public utilities, agricultural and other purposes; (iii) complete road and street pattern and traffic circulation pattern for present and future requirements; (iv) major road and street improvements; (v) areas reserved for public buildings and institutions and for new civic development; (vi) areas for future development and expansion, and areas for new housing; (vii) amenities, services and utilities; (viii) such other matters as may be prescribed or as may be directed by the Government or the Board to be indicated, defined, and provided for;</w:t>
      </w:r>
    </w:p>
    <w:p w:rsidR="00276F9A" w:rsidRPr="005A14CE" w:rsidRDefault="00276F9A"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(c) include zoning regulations to regulate within each zone, the location, height, number of storeys and size of buildings and other structures, the size of yards, courts and other open spaces and the use of buildings, structures and land; </w:t>
      </w:r>
    </w:p>
    <w:p w:rsidR="00276F9A" w:rsidRPr="005A14CE" w:rsidRDefault="000C3BD6"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Further</w:t>
      </w:r>
      <w:r w:rsidR="005801CF" w:rsidRPr="005A14CE">
        <w:rPr>
          <w:rFonts w:ascii="Times New Roman" w:hAnsi="Times New Roman" w:cs="Times New Roman"/>
          <w:sz w:val="28"/>
          <w:szCs w:val="28"/>
        </w:rPr>
        <w:t>,</w:t>
      </w:r>
      <w:r w:rsidRPr="005A14CE">
        <w:rPr>
          <w:rFonts w:ascii="Times New Roman" w:hAnsi="Times New Roman" w:cs="Times New Roman"/>
          <w:sz w:val="28"/>
          <w:szCs w:val="28"/>
        </w:rPr>
        <w:t xml:space="preserve"> it was informed that the</w:t>
      </w:r>
      <w:r w:rsidR="00276F9A" w:rsidRPr="005A14CE">
        <w:rPr>
          <w:rFonts w:ascii="Times New Roman" w:hAnsi="Times New Roman" w:cs="Times New Roman"/>
          <w:sz w:val="28"/>
          <w:szCs w:val="28"/>
        </w:rPr>
        <w:t xml:space="preserve"> Zoning Plan </w:t>
      </w:r>
      <w:r w:rsidRPr="005A14CE">
        <w:rPr>
          <w:rFonts w:ascii="Times New Roman" w:hAnsi="Times New Roman" w:cs="Times New Roman"/>
          <w:sz w:val="28"/>
          <w:szCs w:val="28"/>
        </w:rPr>
        <w:t xml:space="preserve">may </w:t>
      </w:r>
      <w:r w:rsidR="00276F9A" w:rsidRPr="005A14CE">
        <w:rPr>
          <w:rFonts w:ascii="Times New Roman" w:hAnsi="Times New Roman" w:cs="Times New Roman"/>
          <w:sz w:val="28"/>
          <w:szCs w:val="28"/>
        </w:rPr>
        <w:t xml:space="preserve"> (a) indicate, define and provide for,— (i) all such matters including planning standards, gross and new density and such guiding principles as the Government may consider expedient to be indicated, defined and provided for in the regional Plan; (ii) detailed development of specific areas for housing, shopping centres, industrial areas, civic centres, educational and cultural institutions, rain water harvesting, garbage management, cattle pounds and other public utilities; (iii) control of architectural features, elevation and frontage of buildings and structures; (b) designate, any land as land subject to acquisition for any public purpose, and in particular, but without prejudice to the generality of this provision for the purposes of:— (i) the State Governments, or for any local authority or other authority established by law and public utility concerns; (ii) dealing satisfactorily with the areas of bad </w:t>
      </w:r>
      <w:r w:rsidR="00276F9A" w:rsidRPr="005A14CE">
        <w:rPr>
          <w:rFonts w:ascii="Times New Roman" w:hAnsi="Times New Roman" w:cs="Times New Roman"/>
          <w:sz w:val="28"/>
          <w:szCs w:val="28"/>
        </w:rPr>
        <w:lastRenderedPageBreak/>
        <w:t>layout or obsolete development, slum areas for re-location of population; (iii) providing for open spaces, parks and playgrounds; (iv) securing the use of the land in the manner specified in the development plan; (v) any of the matters as are referred to in clause (a).</w:t>
      </w:r>
    </w:p>
    <w:p w:rsidR="000C3BD6" w:rsidRPr="005A14CE" w:rsidRDefault="000C3BD6"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was also informed that the Zoning Plan shall indicate</w:t>
      </w:r>
      <w:r w:rsidR="00D7052A" w:rsidRPr="005A14CE">
        <w:rPr>
          <w:rFonts w:ascii="Times New Roman" w:hAnsi="Times New Roman" w:cs="Times New Roman"/>
          <w:sz w:val="28"/>
          <w:szCs w:val="28"/>
        </w:rPr>
        <w:t xml:space="preserve"> and provide proposal for transferable development right, transferable development right for posterity, accommo</w:t>
      </w:r>
      <w:r w:rsidR="00276F9A" w:rsidRPr="005A14CE">
        <w:rPr>
          <w:rFonts w:ascii="Times New Roman" w:hAnsi="Times New Roman" w:cs="Times New Roman"/>
          <w:sz w:val="28"/>
          <w:szCs w:val="28"/>
        </w:rPr>
        <w:t xml:space="preserve">dation reservation or any other similar technique for promoting planned development. </w:t>
      </w:r>
    </w:p>
    <w:p w:rsidR="001F545C" w:rsidRPr="005A14CE" w:rsidRDefault="000C3BD6"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The Board was also brief that new </w:t>
      </w:r>
      <w:r w:rsidR="000872C4" w:rsidRPr="005A14CE">
        <w:rPr>
          <w:rFonts w:ascii="Times New Roman" w:hAnsi="Times New Roman" w:cs="Times New Roman"/>
          <w:sz w:val="28"/>
          <w:szCs w:val="28"/>
        </w:rPr>
        <w:t>S</w:t>
      </w:r>
      <w:r w:rsidR="00276F9A" w:rsidRPr="005A14CE">
        <w:rPr>
          <w:rFonts w:ascii="Times New Roman" w:hAnsi="Times New Roman" w:cs="Times New Roman"/>
          <w:sz w:val="28"/>
          <w:szCs w:val="28"/>
        </w:rPr>
        <w:t xml:space="preserve">ection 99 </w:t>
      </w:r>
      <w:r w:rsidRPr="005A14CE">
        <w:rPr>
          <w:rFonts w:ascii="Times New Roman" w:hAnsi="Times New Roman" w:cs="Times New Roman"/>
          <w:sz w:val="28"/>
          <w:szCs w:val="28"/>
        </w:rPr>
        <w:t>have also been inserted to the TCP Act, 1974 as per which, t</w:t>
      </w:r>
      <w:r w:rsidR="00276F9A" w:rsidRPr="005A14CE">
        <w:rPr>
          <w:rFonts w:ascii="Times New Roman" w:hAnsi="Times New Roman" w:cs="Times New Roman"/>
          <w:sz w:val="28"/>
          <w:szCs w:val="28"/>
        </w:rPr>
        <w:t>he Planning and Development Authority or the Chief Town Planner (Planning)</w:t>
      </w:r>
      <w:r w:rsidRPr="005A14CE">
        <w:rPr>
          <w:rFonts w:ascii="Times New Roman" w:hAnsi="Times New Roman" w:cs="Times New Roman"/>
          <w:sz w:val="28"/>
          <w:szCs w:val="28"/>
        </w:rPr>
        <w:t>,</w:t>
      </w:r>
      <w:r w:rsidR="00276F9A" w:rsidRPr="005A14CE">
        <w:rPr>
          <w:rFonts w:ascii="Times New Roman" w:hAnsi="Times New Roman" w:cs="Times New Roman"/>
          <w:sz w:val="28"/>
          <w:szCs w:val="28"/>
        </w:rPr>
        <w:t xml:space="preserve"> </w:t>
      </w:r>
      <w:r w:rsidRPr="005A14CE">
        <w:rPr>
          <w:rFonts w:ascii="Times New Roman" w:hAnsi="Times New Roman" w:cs="Times New Roman"/>
          <w:sz w:val="28"/>
          <w:szCs w:val="28"/>
        </w:rPr>
        <w:t>can with prior approval of the Government,</w:t>
      </w:r>
      <w:r w:rsidR="00276F9A" w:rsidRPr="005A14CE">
        <w:rPr>
          <w:rFonts w:ascii="Times New Roman" w:hAnsi="Times New Roman" w:cs="Times New Roman"/>
          <w:sz w:val="28"/>
          <w:szCs w:val="28"/>
        </w:rPr>
        <w:t xml:space="preserve"> engage a consultant or set up special function agency for </w:t>
      </w:r>
      <w:r w:rsidRPr="005A14CE">
        <w:rPr>
          <w:rFonts w:ascii="Times New Roman" w:hAnsi="Times New Roman" w:cs="Times New Roman"/>
          <w:sz w:val="28"/>
          <w:szCs w:val="28"/>
        </w:rPr>
        <w:t>preparation of the plans</w:t>
      </w:r>
      <w:r w:rsidR="000451A6" w:rsidRPr="005A14CE">
        <w:rPr>
          <w:rFonts w:ascii="Times New Roman" w:hAnsi="Times New Roman" w:cs="Times New Roman"/>
          <w:sz w:val="28"/>
          <w:szCs w:val="28"/>
        </w:rPr>
        <w:t>.</w:t>
      </w:r>
    </w:p>
    <w:p w:rsidR="001F545C" w:rsidRPr="005A14CE" w:rsidRDefault="001F545C" w:rsidP="00D7052A">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The Board deliberated on this provision under the Act and after considering various issues and potentials decided that the zoning plan be prepared for the following areas:</w:t>
      </w:r>
    </w:p>
    <w:p w:rsidR="001F545C" w:rsidRPr="005A14CE" w:rsidRDefault="001F545C" w:rsidP="001F545C">
      <w:pPr>
        <w:pStyle w:val="ListParagraph"/>
        <w:numPr>
          <w:ilvl w:val="0"/>
          <w:numId w:val="7"/>
        </w:numPr>
        <w:spacing w:line="360" w:lineRule="auto"/>
        <w:jc w:val="both"/>
        <w:rPr>
          <w:sz w:val="28"/>
          <w:szCs w:val="28"/>
        </w:rPr>
      </w:pPr>
      <w:r w:rsidRPr="005A14CE">
        <w:rPr>
          <w:sz w:val="28"/>
          <w:szCs w:val="28"/>
        </w:rPr>
        <w:t>Pernem Taluka</w:t>
      </w:r>
    </w:p>
    <w:p w:rsidR="00D7052A" w:rsidRPr="005A14CE" w:rsidRDefault="001F545C" w:rsidP="001F545C">
      <w:pPr>
        <w:pStyle w:val="ListParagraph"/>
        <w:numPr>
          <w:ilvl w:val="0"/>
          <w:numId w:val="7"/>
        </w:numPr>
        <w:spacing w:line="360" w:lineRule="auto"/>
        <w:jc w:val="both"/>
        <w:rPr>
          <w:sz w:val="28"/>
          <w:szCs w:val="28"/>
        </w:rPr>
      </w:pPr>
      <w:r w:rsidRPr="005A14CE">
        <w:rPr>
          <w:sz w:val="28"/>
          <w:szCs w:val="28"/>
        </w:rPr>
        <w:t>For Kadamba</w:t>
      </w:r>
      <w:r w:rsidR="000C3BD6" w:rsidRPr="005A14CE">
        <w:rPr>
          <w:sz w:val="28"/>
          <w:szCs w:val="28"/>
        </w:rPr>
        <w:t xml:space="preserve"> </w:t>
      </w:r>
      <w:r w:rsidRPr="005A14CE">
        <w:rPr>
          <w:sz w:val="28"/>
          <w:szCs w:val="28"/>
        </w:rPr>
        <w:t>Plateau by considering an area of about 300 mts. from the edge of bye-pass road, to the extent of an area, which is presently defined as Kadamba Planning Area.</w:t>
      </w:r>
    </w:p>
    <w:p w:rsidR="000872C4" w:rsidRPr="005A14CE" w:rsidRDefault="000872C4" w:rsidP="000872C4">
      <w:pPr>
        <w:spacing w:line="240" w:lineRule="auto"/>
        <w:ind w:firstLine="720"/>
        <w:jc w:val="both"/>
        <w:rPr>
          <w:rFonts w:ascii="Times New Roman" w:hAnsi="Times New Roman" w:cs="Times New Roman"/>
          <w:sz w:val="2"/>
          <w:szCs w:val="28"/>
        </w:rPr>
      </w:pPr>
    </w:p>
    <w:p w:rsidR="000872C4" w:rsidRPr="005A14CE" w:rsidRDefault="000872C4" w:rsidP="000872C4">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Member Secretary was accordingly directed to undertake further procedure in this regard. </w:t>
      </w:r>
    </w:p>
    <w:p w:rsidR="000D2C67" w:rsidRPr="005A14CE" w:rsidRDefault="000D2C67">
      <w:pPr>
        <w:rPr>
          <w:rFonts w:ascii="Times New Roman" w:hAnsi="Times New Roman" w:cs="Times New Roman"/>
          <w:sz w:val="4"/>
          <w:szCs w:val="28"/>
        </w:rPr>
      </w:pPr>
    </w:p>
    <w:p w:rsidR="002749C7" w:rsidRPr="005A14CE" w:rsidRDefault="000872C4">
      <w:pPr>
        <w:rPr>
          <w:rFonts w:ascii="Times New Roman" w:hAnsi="Times New Roman" w:cs="Times New Roman"/>
          <w:b/>
          <w:sz w:val="28"/>
          <w:szCs w:val="28"/>
        </w:rPr>
      </w:pPr>
      <w:r w:rsidRPr="005A14CE">
        <w:rPr>
          <w:rFonts w:ascii="Times New Roman" w:hAnsi="Times New Roman" w:cs="Times New Roman"/>
          <w:b/>
          <w:sz w:val="28"/>
          <w:szCs w:val="28"/>
        </w:rPr>
        <w:t>b) W</w:t>
      </w:r>
      <w:r w:rsidR="002749C7" w:rsidRPr="005A14CE">
        <w:rPr>
          <w:rFonts w:ascii="Times New Roman" w:hAnsi="Times New Roman" w:cs="Times New Roman"/>
          <w:b/>
          <w:sz w:val="28"/>
          <w:szCs w:val="28"/>
        </w:rPr>
        <w:t xml:space="preserve">ithdrawal of part </w:t>
      </w:r>
      <w:r w:rsidRPr="005A14CE">
        <w:rPr>
          <w:rFonts w:ascii="Times New Roman" w:hAnsi="Times New Roman" w:cs="Times New Roman"/>
          <w:b/>
          <w:sz w:val="28"/>
          <w:szCs w:val="28"/>
        </w:rPr>
        <w:t xml:space="preserve">area from </w:t>
      </w:r>
      <w:r w:rsidR="00354783" w:rsidRPr="005A14CE">
        <w:rPr>
          <w:rFonts w:ascii="Times New Roman" w:hAnsi="Times New Roman" w:cs="Times New Roman"/>
          <w:b/>
          <w:sz w:val="28"/>
          <w:szCs w:val="28"/>
        </w:rPr>
        <w:t>Panaji Planning Area</w:t>
      </w:r>
      <w:r w:rsidRPr="005A14CE">
        <w:rPr>
          <w:rFonts w:ascii="Times New Roman" w:hAnsi="Times New Roman" w:cs="Times New Roman"/>
          <w:b/>
          <w:sz w:val="28"/>
          <w:szCs w:val="28"/>
        </w:rPr>
        <w:t>:</w:t>
      </w:r>
    </w:p>
    <w:p w:rsidR="000872C4" w:rsidRPr="005A14CE" w:rsidRDefault="000872C4" w:rsidP="000872C4">
      <w:pPr>
        <w:spacing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While having discussion on Kadamba Planning Area and the preparation of new Zoning Plan, the Board took specific note of the major development that has come along the periphery of Kadamba Planning Area, especially </w:t>
      </w:r>
      <w:r w:rsidR="00BC48FE" w:rsidRPr="005A14CE">
        <w:rPr>
          <w:rFonts w:ascii="Times New Roman" w:hAnsi="Times New Roman" w:cs="Times New Roman"/>
          <w:sz w:val="28"/>
          <w:szCs w:val="28"/>
        </w:rPr>
        <w:t xml:space="preserve">the area </w:t>
      </w:r>
      <w:r w:rsidRPr="005A14CE">
        <w:rPr>
          <w:rFonts w:ascii="Times New Roman" w:hAnsi="Times New Roman" w:cs="Times New Roman"/>
          <w:sz w:val="28"/>
          <w:szCs w:val="28"/>
        </w:rPr>
        <w:t>that is adjoining</w:t>
      </w:r>
      <w:r w:rsidR="00BC48FE" w:rsidRPr="005A14CE">
        <w:rPr>
          <w:rFonts w:ascii="Times New Roman" w:hAnsi="Times New Roman" w:cs="Times New Roman"/>
          <w:sz w:val="28"/>
          <w:szCs w:val="28"/>
        </w:rPr>
        <w:t xml:space="preserve"> with</w:t>
      </w:r>
      <w:r w:rsidRPr="005A14CE">
        <w:rPr>
          <w:rFonts w:ascii="Times New Roman" w:hAnsi="Times New Roman" w:cs="Times New Roman"/>
          <w:sz w:val="28"/>
          <w:szCs w:val="28"/>
        </w:rPr>
        <w:t xml:space="preserve"> the Panaji Planning Area.</w:t>
      </w:r>
    </w:p>
    <w:p w:rsidR="00BC48FE" w:rsidRPr="005A14CE" w:rsidRDefault="00BC48FE" w:rsidP="00BC48FE">
      <w:pPr>
        <w:autoSpaceDE w:val="0"/>
        <w:autoSpaceDN w:val="0"/>
        <w:adjustRightInd w:val="0"/>
        <w:spacing w:after="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 xml:space="preserve">Considering the future scope of growth and to maintain the continuity of character of the area, it was recommended that the properties under </w:t>
      </w:r>
      <w:r w:rsidR="006459CA" w:rsidRPr="005A14CE">
        <w:rPr>
          <w:rFonts w:ascii="Times New Roman" w:hAnsi="Times New Roman" w:cs="Times New Roman"/>
          <w:sz w:val="28"/>
          <w:szCs w:val="28"/>
        </w:rPr>
        <w:t>C</w:t>
      </w:r>
      <w:r w:rsidRPr="005A14CE">
        <w:rPr>
          <w:rFonts w:ascii="Times New Roman" w:hAnsi="Times New Roman" w:cs="Times New Roman"/>
          <w:sz w:val="28"/>
          <w:szCs w:val="28"/>
        </w:rPr>
        <w:t xml:space="preserve">halta No. </w:t>
      </w:r>
      <w:r w:rsidR="009324DC">
        <w:rPr>
          <w:rFonts w:ascii="Times New Roman" w:hAnsi="Times New Roman" w:cs="Times New Roman"/>
          <w:sz w:val="28"/>
          <w:szCs w:val="28"/>
        </w:rPr>
        <w:t xml:space="preserve">71 </w:t>
      </w:r>
      <w:r w:rsidRPr="005A14CE">
        <w:rPr>
          <w:rFonts w:ascii="Times New Roman" w:hAnsi="Times New Roman" w:cs="Times New Roman"/>
          <w:sz w:val="28"/>
          <w:szCs w:val="28"/>
        </w:rPr>
        <w:t>of P.T.</w:t>
      </w:r>
      <w:r w:rsidR="009324DC">
        <w:rPr>
          <w:rFonts w:ascii="Times New Roman" w:hAnsi="Times New Roman" w:cs="Times New Roman"/>
          <w:sz w:val="28"/>
          <w:szCs w:val="28"/>
        </w:rPr>
        <w:t xml:space="preserve"> </w:t>
      </w:r>
      <w:r w:rsidRPr="005A14CE">
        <w:rPr>
          <w:rFonts w:ascii="Times New Roman" w:hAnsi="Times New Roman" w:cs="Times New Roman"/>
          <w:sz w:val="28"/>
          <w:szCs w:val="28"/>
        </w:rPr>
        <w:t xml:space="preserve">Sheet No. </w:t>
      </w:r>
      <w:r w:rsidR="009324DC">
        <w:rPr>
          <w:rFonts w:ascii="Times New Roman" w:hAnsi="Times New Roman" w:cs="Times New Roman"/>
          <w:sz w:val="28"/>
          <w:szCs w:val="28"/>
        </w:rPr>
        <w:t>19</w:t>
      </w:r>
      <w:r w:rsidRPr="005A14CE">
        <w:rPr>
          <w:rFonts w:ascii="Times New Roman" w:hAnsi="Times New Roman" w:cs="Times New Roman"/>
          <w:sz w:val="28"/>
          <w:szCs w:val="28"/>
        </w:rPr>
        <w:t xml:space="preserve">, Chalta No. </w:t>
      </w:r>
      <w:r w:rsidR="009324DC">
        <w:rPr>
          <w:rFonts w:ascii="Times New Roman" w:hAnsi="Times New Roman" w:cs="Times New Roman"/>
          <w:sz w:val="28"/>
          <w:szCs w:val="28"/>
        </w:rPr>
        <w:t xml:space="preserve">72 </w:t>
      </w:r>
      <w:r w:rsidRPr="005A14CE">
        <w:rPr>
          <w:rFonts w:ascii="Times New Roman" w:hAnsi="Times New Roman" w:cs="Times New Roman"/>
          <w:sz w:val="28"/>
          <w:szCs w:val="28"/>
        </w:rPr>
        <w:t>of P.T.</w:t>
      </w:r>
      <w:r w:rsidR="009324DC">
        <w:rPr>
          <w:rFonts w:ascii="Times New Roman" w:hAnsi="Times New Roman" w:cs="Times New Roman"/>
          <w:sz w:val="28"/>
          <w:szCs w:val="28"/>
        </w:rPr>
        <w:t xml:space="preserve"> </w:t>
      </w:r>
      <w:r w:rsidRPr="005A14CE">
        <w:rPr>
          <w:rFonts w:ascii="Times New Roman" w:hAnsi="Times New Roman" w:cs="Times New Roman"/>
          <w:sz w:val="28"/>
          <w:szCs w:val="28"/>
        </w:rPr>
        <w:t xml:space="preserve">Sheet No. </w:t>
      </w:r>
      <w:r w:rsidR="009324DC">
        <w:rPr>
          <w:rFonts w:ascii="Times New Roman" w:hAnsi="Times New Roman" w:cs="Times New Roman"/>
          <w:sz w:val="28"/>
          <w:szCs w:val="28"/>
        </w:rPr>
        <w:t>19</w:t>
      </w:r>
      <w:r w:rsidRPr="005A14CE">
        <w:rPr>
          <w:rFonts w:ascii="Times New Roman" w:hAnsi="Times New Roman" w:cs="Times New Roman"/>
          <w:sz w:val="28"/>
          <w:szCs w:val="28"/>
        </w:rPr>
        <w:t xml:space="preserve">  and Chalta No. </w:t>
      </w:r>
      <w:r w:rsidR="009324DC">
        <w:rPr>
          <w:rFonts w:ascii="Times New Roman" w:hAnsi="Times New Roman" w:cs="Times New Roman"/>
          <w:sz w:val="28"/>
          <w:szCs w:val="28"/>
        </w:rPr>
        <w:t xml:space="preserve">19 (Part) </w:t>
      </w:r>
      <w:r w:rsidRPr="005A14CE">
        <w:rPr>
          <w:rFonts w:ascii="Times New Roman" w:hAnsi="Times New Roman" w:cs="Times New Roman"/>
          <w:sz w:val="28"/>
          <w:szCs w:val="28"/>
        </w:rPr>
        <w:t>of P.T.</w:t>
      </w:r>
      <w:r w:rsidR="009324DC">
        <w:rPr>
          <w:rFonts w:ascii="Times New Roman" w:hAnsi="Times New Roman" w:cs="Times New Roman"/>
          <w:sz w:val="28"/>
          <w:szCs w:val="28"/>
        </w:rPr>
        <w:t xml:space="preserve"> </w:t>
      </w:r>
      <w:r w:rsidRPr="005A14CE">
        <w:rPr>
          <w:rFonts w:ascii="Times New Roman" w:hAnsi="Times New Roman" w:cs="Times New Roman"/>
          <w:sz w:val="28"/>
          <w:szCs w:val="28"/>
        </w:rPr>
        <w:t xml:space="preserve">Sheet No. </w:t>
      </w:r>
      <w:r w:rsidR="009324DC">
        <w:rPr>
          <w:rFonts w:ascii="Times New Roman" w:hAnsi="Times New Roman" w:cs="Times New Roman"/>
          <w:sz w:val="28"/>
          <w:szCs w:val="28"/>
        </w:rPr>
        <w:t>19</w:t>
      </w:r>
      <w:r w:rsidRPr="005A14CE">
        <w:rPr>
          <w:rFonts w:ascii="Times New Roman" w:hAnsi="Times New Roman" w:cs="Times New Roman"/>
          <w:sz w:val="28"/>
          <w:szCs w:val="28"/>
        </w:rPr>
        <w:t>.  shall be withdrawn from Panaji Planning Area.</w:t>
      </w:r>
    </w:p>
    <w:p w:rsidR="00BC48FE" w:rsidRPr="005A14CE" w:rsidRDefault="00BC48FE" w:rsidP="00BC48FE">
      <w:pPr>
        <w:autoSpaceDE w:val="0"/>
        <w:autoSpaceDN w:val="0"/>
        <w:adjustRightInd w:val="0"/>
        <w:spacing w:after="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lastRenderedPageBreak/>
        <w:t>Member Secretary was accordingly directed to undertake the further procedure, after obtaining necessary Government approval for the decision of the Board.</w:t>
      </w:r>
    </w:p>
    <w:p w:rsidR="00EE184D" w:rsidRPr="000E4B47" w:rsidRDefault="00EE184D" w:rsidP="00EE184D">
      <w:pPr>
        <w:autoSpaceDE w:val="0"/>
        <w:autoSpaceDN w:val="0"/>
        <w:adjustRightInd w:val="0"/>
        <w:spacing w:after="0" w:line="360" w:lineRule="auto"/>
        <w:jc w:val="both"/>
        <w:rPr>
          <w:rFonts w:ascii="Times New Roman" w:hAnsi="Times New Roman" w:cs="Times New Roman"/>
          <w:sz w:val="24"/>
          <w:szCs w:val="28"/>
        </w:rPr>
      </w:pPr>
    </w:p>
    <w:p w:rsidR="00EE184D" w:rsidRPr="00565A1F" w:rsidRDefault="00EE184D" w:rsidP="00EE184D">
      <w:pPr>
        <w:autoSpaceDE w:val="0"/>
        <w:autoSpaceDN w:val="0"/>
        <w:adjustRightInd w:val="0"/>
        <w:spacing w:after="0" w:line="360" w:lineRule="auto"/>
        <w:ind w:firstLine="720"/>
        <w:jc w:val="both"/>
        <w:rPr>
          <w:rFonts w:ascii="Times New Roman" w:hAnsi="Times New Roman" w:cs="Times New Roman"/>
          <w:sz w:val="28"/>
          <w:szCs w:val="28"/>
        </w:rPr>
      </w:pPr>
      <w:r w:rsidRPr="005A14CE">
        <w:rPr>
          <w:rFonts w:ascii="Times New Roman" w:hAnsi="Times New Roman" w:cs="Times New Roman"/>
          <w:sz w:val="28"/>
          <w:szCs w:val="28"/>
        </w:rPr>
        <w:t>Meeting ended with thanks to the Chair.</w:t>
      </w:r>
    </w:p>
    <w:sectPr w:rsidR="00EE184D" w:rsidRPr="00565A1F" w:rsidSect="00061972">
      <w:headerReference w:type="default" r:id="rId10"/>
      <w:footerReference w:type="default" r:id="rId11"/>
      <w:pgSz w:w="12240" w:h="20160" w:code="5"/>
      <w:pgMar w:top="1702" w:right="1467" w:bottom="171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8B" w:rsidRDefault="00274C8B">
      <w:pPr>
        <w:spacing w:after="0" w:line="240" w:lineRule="auto"/>
      </w:pPr>
      <w:r>
        <w:separator/>
      </w:r>
    </w:p>
  </w:endnote>
  <w:endnote w:type="continuationSeparator" w:id="0">
    <w:p w:rsidR="00274C8B" w:rsidRDefault="0027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B9" w:rsidRDefault="00092DB9">
    <w:pPr>
      <w:pStyle w:val="Footer"/>
      <w:jc w:val="right"/>
    </w:pPr>
  </w:p>
  <w:p w:rsidR="00092DB9" w:rsidRDefault="0009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8B" w:rsidRDefault="00274C8B">
      <w:pPr>
        <w:spacing w:after="0" w:line="240" w:lineRule="auto"/>
      </w:pPr>
      <w:r>
        <w:separator/>
      </w:r>
    </w:p>
  </w:footnote>
  <w:footnote w:type="continuationSeparator" w:id="0">
    <w:p w:rsidR="00274C8B" w:rsidRDefault="0027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3792"/>
      <w:docPartObj>
        <w:docPartGallery w:val="Page Numbers (Top of Page)"/>
        <w:docPartUnique/>
      </w:docPartObj>
    </w:sdtPr>
    <w:sdtEndPr>
      <w:rPr>
        <w:noProof/>
      </w:rPr>
    </w:sdtEndPr>
    <w:sdtContent>
      <w:p w:rsidR="00092DB9" w:rsidRDefault="00092DB9">
        <w:pPr>
          <w:pStyle w:val="Header"/>
          <w:jc w:val="center"/>
        </w:pPr>
        <w:r>
          <w:fldChar w:fldCharType="begin"/>
        </w:r>
        <w:r>
          <w:instrText xml:space="preserve"> PAGE   \* MERGEFORMAT </w:instrText>
        </w:r>
        <w:r>
          <w:fldChar w:fldCharType="separate"/>
        </w:r>
        <w:r w:rsidR="00DB087E">
          <w:rPr>
            <w:noProof/>
          </w:rPr>
          <w:t>27</w:t>
        </w:r>
        <w:r>
          <w:rPr>
            <w:noProof/>
          </w:rPr>
          <w:fldChar w:fldCharType="end"/>
        </w:r>
      </w:p>
    </w:sdtContent>
  </w:sdt>
  <w:p w:rsidR="00092DB9" w:rsidRDefault="00092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BB4"/>
    <w:multiLevelType w:val="hybridMultilevel"/>
    <w:tmpl w:val="87788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5230"/>
    <w:multiLevelType w:val="hybridMultilevel"/>
    <w:tmpl w:val="FEA6E564"/>
    <w:lvl w:ilvl="0" w:tplc="F62A31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B3F7CA8"/>
    <w:multiLevelType w:val="hybridMultilevel"/>
    <w:tmpl w:val="CDA0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353A"/>
    <w:multiLevelType w:val="hybridMultilevel"/>
    <w:tmpl w:val="74C06CB0"/>
    <w:lvl w:ilvl="0" w:tplc="435A58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377EDA"/>
    <w:multiLevelType w:val="hybridMultilevel"/>
    <w:tmpl w:val="2266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F6A4E"/>
    <w:multiLevelType w:val="hybridMultilevel"/>
    <w:tmpl w:val="AAE46AAE"/>
    <w:lvl w:ilvl="0" w:tplc="761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5A2EE1"/>
    <w:multiLevelType w:val="hybridMultilevel"/>
    <w:tmpl w:val="67EA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7570"/>
    <w:multiLevelType w:val="hybridMultilevel"/>
    <w:tmpl w:val="46361C7C"/>
    <w:lvl w:ilvl="0" w:tplc="C3067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9"/>
    <w:rsid w:val="0000079A"/>
    <w:rsid w:val="00006D54"/>
    <w:rsid w:val="00017DA3"/>
    <w:rsid w:val="00027716"/>
    <w:rsid w:val="00031F2A"/>
    <w:rsid w:val="000451A6"/>
    <w:rsid w:val="000467DE"/>
    <w:rsid w:val="00057332"/>
    <w:rsid w:val="00061972"/>
    <w:rsid w:val="00063D8C"/>
    <w:rsid w:val="00075B5B"/>
    <w:rsid w:val="00080D8D"/>
    <w:rsid w:val="00081E31"/>
    <w:rsid w:val="0008259E"/>
    <w:rsid w:val="000872C4"/>
    <w:rsid w:val="00092DB9"/>
    <w:rsid w:val="000B1ECB"/>
    <w:rsid w:val="000C3BD6"/>
    <w:rsid w:val="000C6B21"/>
    <w:rsid w:val="000D2C67"/>
    <w:rsid w:val="000E4B47"/>
    <w:rsid w:val="00102D5C"/>
    <w:rsid w:val="0012523C"/>
    <w:rsid w:val="0013287C"/>
    <w:rsid w:val="00151968"/>
    <w:rsid w:val="001577EF"/>
    <w:rsid w:val="0017009E"/>
    <w:rsid w:val="001713FF"/>
    <w:rsid w:val="001745D7"/>
    <w:rsid w:val="00176941"/>
    <w:rsid w:val="00181410"/>
    <w:rsid w:val="001937AE"/>
    <w:rsid w:val="0019433C"/>
    <w:rsid w:val="00195C15"/>
    <w:rsid w:val="001C29D6"/>
    <w:rsid w:val="001E25D3"/>
    <w:rsid w:val="001E28ED"/>
    <w:rsid w:val="001F545C"/>
    <w:rsid w:val="00204ACE"/>
    <w:rsid w:val="0023742D"/>
    <w:rsid w:val="00244067"/>
    <w:rsid w:val="002749C7"/>
    <w:rsid w:val="00274C8B"/>
    <w:rsid w:val="00276F9A"/>
    <w:rsid w:val="002B0D54"/>
    <w:rsid w:val="002C439A"/>
    <w:rsid w:val="002F41B8"/>
    <w:rsid w:val="002F5851"/>
    <w:rsid w:val="00315013"/>
    <w:rsid w:val="00354783"/>
    <w:rsid w:val="00375D14"/>
    <w:rsid w:val="00381CE9"/>
    <w:rsid w:val="003C2661"/>
    <w:rsid w:val="003D42C0"/>
    <w:rsid w:val="003E178E"/>
    <w:rsid w:val="003F6B1C"/>
    <w:rsid w:val="00416215"/>
    <w:rsid w:val="00463B8B"/>
    <w:rsid w:val="0046697A"/>
    <w:rsid w:val="00466E14"/>
    <w:rsid w:val="00480A48"/>
    <w:rsid w:val="0049659D"/>
    <w:rsid w:val="004A2FDC"/>
    <w:rsid w:val="004B765F"/>
    <w:rsid w:val="00503CD5"/>
    <w:rsid w:val="0051103E"/>
    <w:rsid w:val="0051155F"/>
    <w:rsid w:val="00512D90"/>
    <w:rsid w:val="00514924"/>
    <w:rsid w:val="005152F9"/>
    <w:rsid w:val="00523F99"/>
    <w:rsid w:val="0053383F"/>
    <w:rsid w:val="00534A1B"/>
    <w:rsid w:val="00537522"/>
    <w:rsid w:val="00563CA6"/>
    <w:rsid w:val="00565A1F"/>
    <w:rsid w:val="00570D6B"/>
    <w:rsid w:val="005749C6"/>
    <w:rsid w:val="00576CF0"/>
    <w:rsid w:val="005801CF"/>
    <w:rsid w:val="005830E7"/>
    <w:rsid w:val="00585FBA"/>
    <w:rsid w:val="00593E5E"/>
    <w:rsid w:val="005A092F"/>
    <w:rsid w:val="005A14CE"/>
    <w:rsid w:val="005A3A61"/>
    <w:rsid w:val="005B313D"/>
    <w:rsid w:val="005B3610"/>
    <w:rsid w:val="005D0064"/>
    <w:rsid w:val="005D5F77"/>
    <w:rsid w:val="005E4397"/>
    <w:rsid w:val="0060514E"/>
    <w:rsid w:val="00614DC5"/>
    <w:rsid w:val="00633AE1"/>
    <w:rsid w:val="0064242C"/>
    <w:rsid w:val="00642C63"/>
    <w:rsid w:val="006459CA"/>
    <w:rsid w:val="00651429"/>
    <w:rsid w:val="006F4207"/>
    <w:rsid w:val="00706081"/>
    <w:rsid w:val="00710D58"/>
    <w:rsid w:val="00782034"/>
    <w:rsid w:val="007874DD"/>
    <w:rsid w:val="00787EBC"/>
    <w:rsid w:val="0079258E"/>
    <w:rsid w:val="00792FEC"/>
    <w:rsid w:val="00797817"/>
    <w:rsid w:val="007D05FE"/>
    <w:rsid w:val="00842516"/>
    <w:rsid w:val="00843F94"/>
    <w:rsid w:val="0085549C"/>
    <w:rsid w:val="00884BD8"/>
    <w:rsid w:val="008962DB"/>
    <w:rsid w:val="008B2710"/>
    <w:rsid w:val="008B2F5A"/>
    <w:rsid w:val="008C1498"/>
    <w:rsid w:val="008C2865"/>
    <w:rsid w:val="008E1439"/>
    <w:rsid w:val="00920FEA"/>
    <w:rsid w:val="009223AA"/>
    <w:rsid w:val="009324DC"/>
    <w:rsid w:val="00971290"/>
    <w:rsid w:val="00974781"/>
    <w:rsid w:val="00977E01"/>
    <w:rsid w:val="00987BF6"/>
    <w:rsid w:val="00994E92"/>
    <w:rsid w:val="009C0FF7"/>
    <w:rsid w:val="009D0E25"/>
    <w:rsid w:val="009D5056"/>
    <w:rsid w:val="009E77EE"/>
    <w:rsid w:val="009F03F8"/>
    <w:rsid w:val="009F269A"/>
    <w:rsid w:val="00A35C6F"/>
    <w:rsid w:val="00A41E96"/>
    <w:rsid w:val="00A50EF0"/>
    <w:rsid w:val="00A56E67"/>
    <w:rsid w:val="00A67F17"/>
    <w:rsid w:val="00A907AB"/>
    <w:rsid w:val="00AB3981"/>
    <w:rsid w:val="00AB76B3"/>
    <w:rsid w:val="00AC011C"/>
    <w:rsid w:val="00AC61B2"/>
    <w:rsid w:val="00AE412F"/>
    <w:rsid w:val="00AE4D70"/>
    <w:rsid w:val="00AF01AC"/>
    <w:rsid w:val="00AF0FF1"/>
    <w:rsid w:val="00B06330"/>
    <w:rsid w:val="00B13BAD"/>
    <w:rsid w:val="00B1560A"/>
    <w:rsid w:val="00B32F16"/>
    <w:rsid w:val="00B53751"/>
    <w:rsid w:val="00B62E80"/>
    <w:rsid w:val="00B66FC9"/>
    <w:rsid w:val="00B74677"/>
    <w:rsid w:val="00B75BD0"/>
    <w:rsid w:val="00B76AEE"/>
    <w:rsid w:val="00B85518"/>
    <w:rsid w:val="00BC48FE"/>
    <w:rsid w:val="00BD0C26"/>
    <w:rsid w:val="00BD604F"/>
    <w:rsid w:val="00BE5B89"/>
    <w:rsid w:val="00BE770B"/>
    <w:rsid w:val="00BF720A"/>
    <w:rsid w:val="00C42A88"/>
    <w:rsid w:val="00C50C43"/>
    <w:rsid w:val="00C55002"/>
    <w:rsid w:val="00C627C6"/>
    <w:rsid w:val="00CB5CC4"/>
    <w:rsid w:val="00CC1709"/>
    <w:rsid w:val="00CC41C8"/>
    <w:rsid w:val="00CD2531"/>
    <w:rsid w:val="00CE26BA"/>
    <w:rsid w:val="00D0492B"/>
    <w:rsid w:val="00D1566C"/>
    <w:rsid w:val="00D61387"/>
    <w:rsid w:val="00D628E7"/>
    <w:rsid w:val="00D7052A"/>
    <w:rsid w:val="00D73BD1"/>
    <w:rsid w:val="00D85E29"/>
    <w:rsid w:val="00D87F58"/>
    <w:rsid w:val="00DB087E"/>
    <w:rsid w:val="00DB700B"/>
    <w:rsid w:val="00DC2060"/>
    <w:rsid w:val="00DC5D46"/>
    <w:rsid w:val="00DD2986"/>
    <w:rsid w:val="00E04C7E"/>
    <w:rsid w:val="00E1152A"/>
    <w:rsid w:val="00E13BA2"/>
    <w:rsid w:val="00E170C1"/>
    <w:rsid w:val="00E34CE6"/>
    <w:rsid w:val="00E62D42"/>
    <w:rsid w:val="00E86187"/>
    <w:rsid w:val="00E93449"/>
    <w:rsid w:val="00E96ACE"/>
    <w:rsid w:val="00EA2807"/>
    <w:rsid w:val="00EC237A"/>
    <w:rsid w:val="00EC7F4D"/>
    <w:rsid w:val="00EE184D"/>
    <w:rsid w:val="00EE29BF"/>
    <w:rsid w:val="00EE3CC7"/>
    <w:rsid w:val="00F21B9F"/>
    <w:rsid w:val="00F2501C"/>
    <w:rsid w:val="00F345EA"/>
    <w:rsid w:val="00F40425"/>
    <w:rsid w:val="00F52B8C"/>
    <w:rsid w:val="00F65442"/>
    <w:rsid w:val="00F80743"/>
    <w:rsid w:val="00F808ED"/>
    <w:rsid w:val="00F84EEC"/>
    <w:rsid w:val="00F92B3B"/>
    <w:rsid w:val="00F95FE3"/>
    <w:rsid w:val="00FA4505"/>
    <w:rsid w:val="00FB2839"/>
    <w:rsid w:val="00FB3467"/>
    <w:rsid w:val="00FD64AA"/>
    <w:rsid w:val="00FF50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46E2"/>
  <w15:docId w15:val="{A290C0F8-3532-4FE4-B4E0-7C6101A9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4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176941"/>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76941"/>
    <w:rPr>
      <w:rFonts w:ascii="Times New Roman" w:eastAsia="Times New Roman" w:hAnsi="Times New Roman" w:cs="Times New Roman"/>
      <w:sz w:val="24"/>
      <w:szCs w:val="20"/>
      <w:lang w:val="en-US"/>
    </w:rPr>
  </w:style>
  <w:style w:type="paragraph" w:styleId="NoSpacing">
    <w:name w:val="No Spacing"/>
    <w:uiPriority w:val="1"/>
    <w:qFormat/>
    <w:rsid w:val="00176941"/>
    <w:pPr>
      <w:spacing w:after="0" w:line="240" w:lineRule="auto"/>
    </w:pPr>
    <w:rPr>
      <w:lang w:val="en-US"/>
    </w:rPr>
  </w:style>
  <w:style w:type="paragraph" w:styleId="ListParagraph">
    <w:name w:val="List Paragraph"/>
    <w:basedOn w:val="Normal"/>
    <w:uiPriority w:val="34"/>
    <w:qFormat/>
    <w:rsid w:val="00176941"/>
    <w:pPr>
      <w:spacing w:after="0" w:line="240" w:lineRule="auto"/>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7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41"/>
    <w:rPr>
      <w:lang w:val="en-US"/>
    </w:rPr>
  </w:style>
  <w:style w:type="paragraph" w:styleId="Footer">
    <w:name w:val="footer"/>
    <w:basedOn w:val="Normal"/>
    <w:link w:val="FooterChar"/>
    <w:uiPriority w:val="99"/>
    <w:unhideWhenUsed/>
    <w:rsid w:val="0017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41"/>
    <w:rPr>
      <w:lang w:val="en-US"/>
    </w:rPr>
  </w:style>
  <w:style w:type="paragraph" w:styleId="NormalWeb">
    <w:name w:val="Normal (Web)"/>
    <w:basedOn w:val="Normal"/>
    <w:uiPriority w:val="99"/>
    <w:semiHidden/>
    <w:unhideWhenUsed/>
    <w:rsid w:val="00176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941"/>
    <w:rPr>
      <w:i/>
      <w:iCs/>
    </w:rPr>
  </w:style>
  <w:style w:type="table" w:styleId="TableGrid">
    <w:name w:val="Table Grid"/>
    <w:basedOn w:val="TableNormal"/>
    <w:uiPriority w:val="39"/>
    <w:rsid w:val="005D5F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8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Urbanism-Beyond-2020-Reflections-COVID-19/dp/19540810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gp/product/1941806198/ref=dbs_a_def_rwt_bibl_vppi_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8FB7-BDDD-478B-A970-5976F9BE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30</Pages>
  <Words>8204</Words>
  <Characters>46765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228</cp:revision>
  <cp:lastPrinted>2022-08-25T04:56:00Z</cp:lastPrinted>
  <dcterms:created xsi:type="dcterms:W3CDTF">2022-08-12T09:25:00Z</dcterms:created>
  <dcterms:modified xsi:type="dcterms:W3CDTF">2022-09-13T05:31:00Z</dcterms:modified>
</cp:coreProperties>
</file>