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CC5" w:rsidRPr="006E7CFF" w:rsidRDefault="009A4CC5" w:rsidP="009A4CC5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  <w:r w:rsidRPr="006E7CFF">
        <w:rPr>
          <w:rFonts w:eastAsia="Calibri"/>
          <w:b/>
          <w:sz w:val="24"/>
          <w:szCs w:val="24"/>
          <w:u w:val="single"/>
          <w:lang w:val="en-US"/>
        </w:rPr>
        <w:t xml:space="preserve">ANNEXURE A </w:t>
      </w:r>
    </w:p>
    <w:p w:rsidR="009A4CC5" w:rsidRPr="006E7CFF" w:rsidRDefault="009A4CC5" w:rsidP="009A4CC5">
      <w:pPr>
        <w:jc w:val="center"/>
        <w:rPr>
          <w:rFonts w:eastAsia="Calibri"/>
          <w:b/>
          <w:sz w:val="24"/>
          <w:szCs w:val="24"/>
          <w:u w:val="single"/>
          <w:lang w:val="en-US"/>
        </w:rPr>
      </w:pPr>
    </w:p>
    <w:p w:rsidR="009A4CC5" w:rsidRPr="006E7CFF" w:rsidRDefault="009A4CC5" w:rsidP="009A4CC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6E7CFF">
        <w:rPr>
          <w:rFonts w:ascii="Times New Roman" w:hAnsi="Times New Roman"/>
          <w:b/>
          <w:sz w:val="24"/>
          <w:szCs w:val="24"/>
        </w:rPr>
        <w:t>T</w:t>
      </w:r>
      <w:r w:rsidR="00BF1E7F">
        <w:rPr>
          <w:rFonts w:ascii="Times New Roman" w:hAnsi="Times New Roman"/>
          <w:b/>
          <w:sz w:val="24"/>
          <w:szCs w:val="24"/>
        </w:rPr>
        <w:t>HE PROPOSALS DISCUSSED IN THE 3</w:t>
      </w:r>
      <w:r w:rsidR="009B13AE">
        <w:rPr>
          <w:rFonts w:ascii="Times New Roman" w:hAnsi="Times New Roman"/>
          <w:b/>
          <w:sz w:val="24"/>
          <w:szCs w:val="24"/>
        </w:rPr>
        <w:t>6</w:t>
      </w:r>
      <w:r w:rsidRPr="006E7CFF">
        <w:rPr>
          <w:rFonts w:ascii="Times New Roman" w:hAnsi="Times New Roman"/>
          <w:b/>
          <w:sz w:val="24"/>
          <w:szCs w:val="24"/>
          <w:vertAlign w:val="superscript"/>
        </w:rPr>
        <w:t>th</w:t>
      </w:r>
      <w:r w:rsidRPr="006E7CFF">
        <w:rPr>
          <w:rFonts w:ascii="Times New Roman" w:hAnsi="Times New Roman"/>
          <w:b/>
          <w:sz w:val="24"/>
          <w:szCs w:val="24"/>
        </w:rPr>
        <w:t xml:space="preserve"> MEETING OF THE COMMITTEE CONSTITUTED UNDER SUB RULE 4 OF RULE 3 OF THE GOA TOWN &amp; COUNTRY PLANNING (PUBLIC PROJECTS/SCHEMES/DEVELOPMENT WORKS BY THE GOVERNMENT) RULES, 2008 HELD ON </w:t>
      </w:r>
      <w:r w:rsidR="009B13AE">
        <w:rPr>
          <w:rFonts w:ascii="Times New Roman" w:hAnsi="Times New Roman"/>
          <w:b/>
          <w:sz w:val="24"/>
          <w:szCs w:val="24"/>
        </w:rPr>
        <w:t>02/08</w:t>
      </w:r>
      <w:r w:rsidR="00556988" w:rsidRPr="006E7CFF">
        <w:rPr>
          <w:rFonts w:ascii="Times New Roman" w:hAnsi="Times New Roman"/>
          <w:b/>
          <w:sz w:val="24"/>
          <w:szCs w:val="24"/>
        </w:rPr>
        <w:t>/202</w:t>
      </w:r>
      <w:r w:rsidR="009B13AE">
        <w:rPr>
          <w:rFonts w:ascii="Times New Roman" w:hAnsi="Times New Roman"/>
          <w:b/>
          <w:sz w:val="24"/>
          <w:szCs w:val="24"/>
        </w:rPr>
        <w:t>2</w:t>
      </w:r>
      <w:r w:rsidR="00556988" w:rsidRPr="006E7CFF">
        <w:rPr>
          <w:rFonts w:ascii="Times New Roman" w:hAnsi="Times New Roman"/>
          <w:b/>
          <w:sz w:val="24"/>
          <w:szCs w:val="24"/>
        </w:rPr>
        <w:t xml:space="preserve"> </w:t>
      </w:r>
      <w:r w:rsidRPr="006E7CFF">
        <w:rPr>
          <w:rFonts w:ascii="Times New Roman" w:hAnsi="Times New Roman"/>
          <w:b/>
          <w:sz w:val="24"/>
          <w:szCs w:val="24"/>
        </w:rPr>
        <w:t xml:space="preserve">PLACED BEFORE </w:t>
      </w:r>
      <w:r w:rsidR="00556988" w:rsidRPr="006E7CFF">
        <w:rPr>
          <w:rFonts w:ascii="Times New Roman" w:hAnsi="Times New Roman"/>
          <w:b/>
          <w:sz w:val="24"/>
          <w:szCs w:val="24"/>
        </w:rPr>
        <w:t>1</w:t>
      </w:r>
      <w:r w:rsidR="009B13AE">
        <w:rPr>
          <w:rFonts w:ascii="Times New Roman" w:hAnsi="Times New Roman"/>
          <w:b/>
          <w:sz w:val="24"/>
          <w:szCs w:val="24"/>
        </w:rPr>
        <w:t>83</w:t>
      </w:r>
      <w:r w:rsidR="009B13AE" w:rsidRPr="009B13AE">
        <w:rPr>
          <w:rFonts w:ascii="Times New Roman" w:hAnsi="Times New Roman"/>
          <w:b/>
          <w:sz w:val="24"/>
          <w:szCs w:val="24"/>
          <w:vertAlign w:val="superscript"/>
        </w:rPr>
        <w:t>rd</w:t>
      </w:r>
      <w:r w:rsidR="009B13AE">
        <w:rPr>
          <w:rFonts w:ascii="Times New Roman" w:hAnsi="Times New Roman"/>
          <w:b/>
          <w:sz w:val="24"/>
          <w:szCs w:val="24"/>
        </w:rPr>
        <w:t xml:space="preserve"> </w:t>
      </w:r>
      <w:r w:rsidRPr="006E7CFF">
        <w:rPr>
          <w:rFonts w:ascii="Times New Roman" w:hAnsi="Times New Roman"/>
          <w:b/>
          <w:sz w:val="24"/>
          <w:szCs w:val="24"/>
        </w:rPr>
        <w:t xml:space="preserve">TCP BOARD </w:t>
      </w:r>
      <w:r w:rsidR="00FE0905" w:rsidRPr="006E7CFF">
        <w:rPr>
          <w:rFonts w:ascii="Times New Roman" w:hAnsi="Times New Roman"/>
          <w:b/>
          <w:sz w:val="24"/>
          <w:szCs w:val="24"/>
        </w:rPr>
        <w:t xml:space="preserve">MEETING </w:t>
      </w:r>
      <w:r w:rsidR="00FE0905">
        <w:rPr>
          <w:rFonts w:ascii="Times New Roman" w:hAnsi="Times New Roman"/>
          <w:b/>
          <w:sz w:val="24"/>
          <w:szCs w:val="24"/>
        </w:rPr>
        <w:t xml:space="preserve">TO BE </w:t>
      </w:r>
      <w:r w:rsidRPr="006E7CFF">
        <w:rPr>
          <w:rFonts w:ascii="Times New Roman" w:hAnsi="Times New Roman"/>
          <w:b/>
          <w:sz w:val="24"/>
          <w:szCs w:val="24"/>
        </w:rPr>
        <w:t xml:space="preserve">HELD ON </w:t>
      </w:r>
      <w:r w:rsidR="009B13AE">
        <w:rPr>
          <w:rFonts w:ascii="Times New Roman" w:hAnsi="Times New Roman"/>
          <w:b/>
          <w:sz w:val="24"/>
          <w:szCs w:val="24"/>
        </w:rPr>
        <w:t>11/08/2022</w:t>
      </w:r>
      <w:r w:rsidRPr="006E7CFF">
        <w:rPr>
          <w:rFonts w:ascii="Times New Roman" w:hAnsi="Times New Roman"/>
          <w:b/>
          <w:sz w:val="24"/>
          <w:szCs w:val="24"/>
        </w:rPr>
        <w:t>.</w:t>
      </w:r>
    </w:p>
    <w:p w:rsidR="009A4CC5" w:rsidRPr="006E7CFF" w:rsidRDefault="009A4CC5" w:rsidP="009A4CC5">
      <w:pPr>
        <w:jc w:val="both"/>
        <w:rPr>
          <w:rFonts w:eastAsia="Calibri"/>
          <w:b/>
          <w:sz w:val="24"/>
          <w:szCs w:val="24"/>
          <w:u w:val="single"/>
          <w:lang w:val="en-US"/>
        </w:rPr>
      </w:pPr>
    </w:p>
    <w:p w:rsidR="009A4CC5" w:rsidRPr="006E7CFF" w:rsidRDefault="009A4CC5" w:rsidP="009A4CC5">
      <w:pPr>
        <w:rPr>
          <w:rFonts w:eastAsia="Calibri"/>
          <w:b/>
          <w:sz w:val="24"/>
          <w:szCs w:val="24"/>
          <w:lang w:val="en-US"/>
        </w:rPr>
      </w:pPr>
    </w:p>
    <w:tbl>
      <w:tblPr>
        <w:tblW w:w="17530" w:type="dxa"/>
        <w:tblInd w:w="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252"/>
        <w:gridCol w:w="2827"/>
        <w:gridCol w:w="1459"/>
        <w:gridCol w:w="1269"/>
        <w:gridCol w:w="1391"/>
        <w:gridCol w:w="1509"/>
        <w:gridCol w:w="1886"/>
        <w:gridCol w:w="4394"/>
      </w:tblGrid>
      <w:tr w:rsidR="002C7637" w:rsidRPr="006E7CFF" w:rsidTr="00EB0292">
        <w:trPr>
          <w:trHeight w:val="8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Sr. No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Name of the Applicant / Proponent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CC5" w:rsidRPr="006E7CFF" w:rsidRDefault="009A4CC5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Name of Proposal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Survey No. 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Village &amp;  Taluka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3B47F6">
            <w:pPr>
              <w:jc w:val="center"/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>Total area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Existing zone as per RP 2021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3B47F6">
            <w:pPr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6E7CFF">
              <w:rPr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Change of zone/ rectification sought for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CC5" w:rsidRPr="006E7CFF" w:rsidRDefault="009A4CC5" w:rsidP="0073652C">
            <w:pPr>
              <w:spacing w:after="120"/>
              <w:jc w:val="both"/>
              <w:rPr>
                <w:rFonts w:eastAsia="Calibri"/>
                <w:b/>
                <w:sz w:val="24"/>
                <w:szCs w:val="24"/>
                <w:lang w:val="en-US"/>
              </w:rPr>
            </w:pPr>
            <w:r w:rsidRPr="006E7CFF">
              <w:rPr>
                <w:rFonts w:eastAsia="Calibri"/>
                <w:b/>
                <w:sz w:val="24"/>
                <w:szCs w:val="24"/>
                <w:lang w:val="en-US"/>
              </w:rPr>
              <w:t>Decision of the Committee</w:t>
            </w:r>
          </w:p>
        </w:tc>
      </w:tr>
      <w:tr w:rsidR="002C7637" w:rsidRPr="00BD5BD2" w:rsidTr="00EB0292">
        <w:trPr>
          <w:trHeight w:val="8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BD5BD2" w:rsidP="003B47F6">
            <w:pPr>
              <w:jc w:val="both"/>
              <w:rPr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BD5BD2" w:rsidP="009A4CC5">
            <w:pPr>
              <w:jc w:val="both"/>
              <w:rPr>
                <w:sz w:val="24"/>
                <w:szCs w:val="24"/>
              </w:rPr>
            </w:pPr>
            <w:r w:rsidRPr="00BD5BD2">
              <w:rPr>
                <w:sz w:val="24"/>
                <w:szCs w:val="24"/>
              </w:rPr>
              <w:t>Goa Tourism Development Corporation ltd.,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BD5BD2" w:rsidP="002E33DB">
            <w:pPr>
              <w:jc w:val="both"/>
              <w:rPr>
                <w:bCs/>
                <w:sz w:val="24"/>
                <w:szCs w:val="24"/>
              </w:rPr>
            </w:pPr>
            <w:r w:rsidRPr="00BD5BD2">
              <w:rPr>
                <w:bCs/>
                <w:sz w:val="24"/>
                <w:szCs w:val="24"/>
              </w:rPr>
              <w:t xml:space="preserve">Proposal for change of </w:t>
            </w:r>
            <w:proofErr w:type="spellStart"/>
            <w:r w:rsidRPr="00BD5BD2">
              <w:rPr>
                <w:bCs/>
                <w:sz w:val="24"/>
                <w:szCs w:val="24"/>
              </w:rPr>
              <w:t>landuse</w:t>
            </w:r>
            <w:proofErr w:type="spellEnd"/>
            <w:r w:rsidRPr="00BD5BD2">
              <w:rPr>
                <w:bCs/>
                <w:sz w:val="24"/>
                <w:szCs w:val="24"/>
              </w:rPr>
              <w:t xml:space="preserve"> pattern for enabling Worl</w:t>
            </w:r>
            <w:r w:rsidR="002E33DB">
              <w:rPr>
                <w:bCs/>
                <w:sz w:val="24"/>
                <w:szCs w:val="24"/>
              </w:rPr>
              <w:t>d Class Tourism infrastructure.</w:t>
            </w:r>
            <w:r w:rsidRPr="00BD5BD2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BD5BD2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D5BD2">
              <w:rPr>
                <w:bCs/>
                <w:sz w:val="24"/>
                <w:szCs w:val="24"/>
              </w:rPr>
              <w:t>Sy</w:t>
            </w:r>
            <w:proofErr w:type="spellEnd"/>
            <w:r w:rsidRPr="00BD5BD2">
              <w:rPr>
                <w:bCs/>
                <w:sz w:val="24"/>
                <w:szCs w:val="24"/>
              </w:rPr>
              <w:t>. No. 206/1-H, 211/1, 211/2, 211/3, 212/1, 212/2, 212/3, 212/4 and 212/6,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BD5BD2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BD5BD2">
              <w:rPr>
                <w:bCs/>
                <w:sz w:val="24"/>
                <w:szCs w:val="24"/>
              </w:rPr>
              <w:t>Anjuna</w:t>
            </w:r>
            <w:proofErr w:type="spellEnd"/>
            <w:r w:rsidRPr="00BD5BD2">
              <w:rPr>
                <w:bCs/>
                <w:sz w:val="24"/>
                <w:szCs w:val="24"/>
              </w:rPr>
              <w:t xml:space="preserve"> Village, </w:t>
            </w:r>
            <w:proofErr w:type="spellStart"/>
            <w:r w:rsidRPr="00BD5BD2">
              <w:rPr>
                <w:bCs/>
                <w:sz w:val="24"/>
                <w:szCs w:val="24"/>
              </w:rPr>
              <w:t>Bardez</w:t>
            </w:r>
            <w:proofErr w:type="spellEnd"/>
            <w:r w:rsidRPr="00BD5BD2">
              <w:rPr>
                <w:bCs/>
                <w:sz w:val="24"/>
                <w:szCs w:val="24"/>
              </w:rPr>
              <w:t xml:space="preserve"> Taluka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E34687" w:rsidP="003B47F6">
            <w:pPr>
              <w:jc w:val="both"/>
              <w:rPr>
                <w:sz w:val="24"/>
                <w:szCs w:val="24"/>
              </w:rPr>
            </w:pPr>
            <w:r w:rsidRPr="00E34687">
              <w:rPr>
                <w:sz w:val="24"/>
                <w:szCs w:val="28"/>
              </w:rPr>
              <w:t>80,120</w:t>
            </w:r>
            <w:r>
              <w:rPr>
                <w:sz w:val="24"/>
                <w:szCs w:val="28"/>
              </w:rPr>
              <w:t>.00</w:t>
            </w:r>
            <w:r w:rsidRPr="00E34687">
              <w:rPr>
                <w:sz w:val="24"/>
                <w:szCs w:val="28"/>
              </w:rPr>
              <w:t xml:space="preserve"> sq.mt.</w:t>
            </w:r>
            <w:bookmarkStart w:id="0" w:name="_GoBack"/>
            <w:bookmarkEnd w:id="0"/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2C7637" w:rsidP="002C763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Partly Settlement, partly </w:t>
            </w:r>
            <w:r w:rsidR="00BD5BD2" w:rsidRPr="00BD5BD2">
              <w:rPr>
                <w:sz w:val="24"/>
                <w:szCs w:val="24"/>
              </w:rPr>
              <w:t xml:space="preserve">Orchard Zone </w:t>
            </w:r>
            <w:r>
              <w:rPr>
                <w:sz w:val="24"/>
                <w:szCs w:val="24"/>
              </w:rPr>
              <w:t xml:space="preserve">and partly Orchard with </w:t>
            </w:r>
            <w:r w:rsidR="00BD5BD2" w:rsidRPr="00BD5BD2">
              <w:rPr>
                <w:sz w:val="24"/>
                <w:szCs w:val="24"/>
              </w:rPr>
              <w:t>No Development Slope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3AE" w:rsidRPr="00BD5BD2" w:rsidRDefault="00BD5BD2" w:rsidP="003B47F6">
            <w:pPr>
              <w:jc w:val="both"/>
              <w:rPr>
                <w:sz w:val="24"/>
                <w:szCs w:val="24"/>
              </w:rPr>
            </w:pPr>
            <w:r w:rsidRPr="00BD5BD2">
              <w:rPr>
                <w:bCs/>
                <w:sz w:val="24"/>
                <w:szCs w:val="24"/>
              </w:rPr>
              <w:t>Settlement Zone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AF" w:rsidRPr="00CD52AF" w:rsidRDefault="00CD52AF" w:rsidP="00CD52AF">
            <w:pPr>
              <w:jc w:val="both"/>
              <w:rPr>
                <w:sz w:val="24"/>
                <w:szCs w:val="28"/>
              </w:rPr>
            </w:pPr>
            <w:r w:rsidRPr="00CD52AF">
              <w:rPr>
                <w:sz w:val="24"/>
                <w:szCs w:val="28"/>
              </w:rPr>
              <w:t>Considering the location of the property and the need expressed by GTDC and consent obtained from other competent authorities, Committee recommend</w:t>
            </w:r>
            <w:r w:rsidR="00D142A4">
              <w:rPr>
                <w:sz w:val="24"/>
                <w:szCs w:val="28"/>
              </w:rPr>
              <w:t>ed</w:t>
            </w:r>
            <w:r w:rsidRPr="00CD52AF">
              <w:rPr>
                <w:sz w:val="24"/>
                <w:szCs w:val="28"/>
              </w:rPr>
              <w:t xml:space="preserve"> change of zone</w:t>
            </w:r>
            <w:r w:rsidR="00E07E8D">
              <w:rPr>
                <w:sz w:val="24"/>
                <w:szCs w:val="28"/>
              </w:rPr>
              <w:t xml:space="preserve"> to “settlement” </w:t>
            </w:r>
            <w:r w:rsidRPr="00CD52AF">
              <w:rPr>
                <w:sz w:val="24"/>
                <w:szCs w:val="28"/>
              </w:rPr>
              <w:t>for an area of 48,837.37 sq.</w:t>
            </w:r>
            <w:proofErr w:type="spellStart"/>
            <w:r w:rsidRPr="00CD52AF">
              <w:rPr>
                <w:sz w:val="24"/>
                <w:szCs w:val="28"/>
              </w:rPr>
              <w:t>mts</w:t>
            </w:r>
            <w:proofErr w:type="spellEnd"/>
            <w:proofErr w:type="gramStart"/>
            <w:r w:rsidRPr="00CD52AF">
              <w:rPr>
                <w:sz w:val="24"/>
                <w:szCs w:val="28"/>
              </w:rPr>
              <w:t>.</w:t>
            </w:r>
            <w:r w:rsidR="00BD50A3">
              <w:rPr>
                <w:sz w:val="24"/>
                <w:szCs w:val="28"/>
              </w:rPr>
              <w:t>,with</w:t>
            </w:r>
            <w:proofErr w:type="gramEnd"/>
            <w:r w:rsidR="00BD50A3">
              <w:rPr>
                <w:sz w:val="24"/>
                <w:szCs w:val="28"/>
              </w:rPr>
              <w:t xml:space="preserve"> details as under</w:t>
            </w:r>
            <w:r w:rsidRPr="00CD52AF">
              <w:rPr>
                <w:sz w:val="24"/>
                <w:szCs w:val="28"/>
              </w:rPr>
              <w:t>:</w:t>
            </w:r>
          </w:p>
          <w:p w:rsidR="00CD52AF" w:rsidRPr="00CD52AF" w:rsidRDefault="00CD52AF" w:rsidP="00E34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6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Change of zone for an area of 33,497.38 </w:t>
            </w:r>
            <w:proofErr w:type="spellStart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>sq</w:t>
            </w:r>
            <w:proofErr w:type="spellEnd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>mts.</w:t>
            </w:r>
            <w:proofErr w:type="spellEnd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 is recommended from Orchard zone to Settlement zone, </w:t>
            </w:r>
          </w:p>
          <w:p w:rsidR="00CD52AF" w:rsidRPr="00CD52AF" w:rsidRDefault="00CD52AF" w:rsidP="00E34687">
            <w:pPr>
              <w:pStyle w:val="ListParagraph"/>
              <w:numPr>
                <w:ilvl w:val="0"/>
                <w:numId w:val="1"/>
              </w:numPr>
              <w:spacing w:line="240" w:lineRule="auto"/>
              <w:ind w:left="436" w:hanging="283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Change of zone for an area of 15,340.00 sq. </w:t>
            </w:r>
            <w:proofErr w:type="spellStart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>mts</w:t>
            </w:r>
            <w:proofErr w:type="spellEnd"/>
            <w:r w:rsidRPr="00CD52AF">
              <w:rPr>
                <w:rFonts w:ascii="Times New Roman" w:hAnsi="Times New Roman" w:cs="Times New Roman"/>
                <w:sz w:val="24"/>
                <w:szCs w:val="28"/>
              </w:rPr>
              <w:t xml:space="preserve"> is recommended from Orchard with No Development Slope to Settlement Zone.</w:t>
            </w:r>
          </w:p>
          <w:p w:rsidR="00CD52AF" w:rsidRPr="00CD52AF" w:rsidRDefault="00CD52AF" w:rsidP="00E34687">
            <w:pPr>
              <w:ind w:left="436"/>
              <w:jc w:val="both"/>
              <w:rPr>
                <w:sz w:val="24"/>
                <w:szCs w:val="28"/>
              </w:rPr>
            </w:pPr>
            <w:r w:rsidRPr="00CD52AF">
              <w:rPr>
                <w:sz w:val="24"/>
                <w:szCs w:val="28"/>
              </w:rPr>
              <w:t xml:space="preserve">Further it was decided that out of this 15,340.00 sq. </w:t>
            </w:r>
            <w:proofErr w:type="spellStart"/>
            <w:r w:rsidRPr="00CD52AF">
              <w:rPr>
                <w:sz w:val="24"/>
                <w:szCs w:val="28"/>
              </w:rPr>
              <w:t>mts</w:t>
            </w:r>
            <w:proofErr w:type="spellEnd"/>
            <w:r w:rsidRPr="00CD52AF">
              <w:rPr>
                <w:sz w:val="24"/>
                <w:szCs w:val="28"/>
              </w:rPr>
              <w:t xml:space="preserve"> area considered for change of zone, no construction of buildings shall be permitted in an area of 6,201 sq. </w:t>
            </w:r>
            <w:proofErr w:type="spellStart"/>
            <w:r w:rsidRPr="00CD52AF">
              <w:rPr>
                <w:sz w:val="24"/>
                <w:szCs w:val="28"/>
              </w:rPr>
              <w:t>mts.</w:t>
            </w:r>
            <w:proofErr w:type="spellEnd"/>
            <w:r w:rsidRPr="00CD52AF">
              <w:rPr>
                <w:sz w:val="24"/>
                <w:szCs w:val="28"/>
              </w:rPr>
              <w:t>, as this area was found to have comparatively steeper slope.</w:t>
            </w:r>
          </w:p>
          <w:p w:rsidR="00CD52AF" w:rsidRPr="00CD52AF" w:rsidRDefault="00CD52AF" w:rsidP="00E34687">
            <w:pPr>
              <w:ind w:left="436"/>
              <w:jc w:val="both"/>
              <w:rPr>
                <w:sz w:val="24"/>
                <w:szCs w:val="28"/>
              </w:rPr>
            </w:pPr>
            <w:r w:rsidRPr="00CD52AF">
              <w:rPr>
                <w:sz w:val="24"/>
                <w:szCs w:val="28"/>
              </w:rPr>
              <w:lastRenderedPageBreak/>
              <w:t xml:space="preserve">It was also decided that while undertaking any development under 15,340.00 sq. </w:t>
            </w:r>
            <w:proofErr w:type="spellStart"/>
            <w:proofErr w:type="gramStart"/>
            <w:r w:rsidRPr="00CD52AF">
              <w:rPr>
                <w:sz w:val="24"/>
                <w:szCs w:val="28"/>
              </w:rPr>
              <w:t>mts</w:t>
            </w:r>
            <w:proofErr w:type="spellEnd"/>
            <w:r w:rsidRPr="00CD52AF">
              <w:rPr>
                <w:sz w:val="24"/>
                <w:szCs w:val="28"/>
              </w:rPr>
              <w:t xml:space="preserve">  of</w:t>
            </w:r>
            <w:proofErr w:type="gramEnd"/>
            <w:r w:rsidRPr="00CD52AF">
              <w:rPr>
                <w:sz w:val="24"/>
                <w:szCs w:val="28"/>
              </w:rPr>
              <w:t xml:space="preserve"> land, necessary permissions u/s 17-A of TCP Act shall be obtained, if so required, before commencement of any construction activity in the said portion of land. </w:t>
            </w:r>
          </w:p>
          <w:p w:rsidR="009B13AE" w:rsidRPr="00CD52AF" w:rsidRDefault="009B13AE" w:rsidP="00CD52AF">
            <w:pPr>
              <w:jc w:val="both"/>
              <w:rPr>
                <w:bCs/>
                <w:sz w:val="24"/>
                <w:szCs w:val="24"/>
              </w:rPr>
            </w:pPr>
          </w:p>
        </w:tc>
      </w:tr>
      <w:tr w:rsidR="002C7637" w:rsidRPr="00807D5F" w:rsidTr="00EB0292">
        <w:trPr>
          <w:trHeight w:val="875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71675A" w:rsidP="003B47F6">
            <w:pPr>
              <w:jc w:val="both"/>
              <w:rPr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bCs/>
                <w:color w:val="000000"/>
                <w:sz w:val="24"/>
                <w:szCs w:val="24"/>
                <w:lang w:val="en-IN" w:eastAsia="en-IN"/>
              </w:rPr>
              <w:lastRenderedPageBreak/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BD5BD2" w:rsidP="009A4CC5">
            <w:pPr>
              <w:jc w:val="both"/>
              <w:rPr>
                <w:sz w:val="24"/>
                <w:szCs w:val="24"/>
              </w:rPr>
            </w:pPr>
            <w:r w:rsidRPr="00807D5F">
              <w:rPr>
                <w:sz w:val="24"/>
                <w:szCs w:val="28"/>
              </w:rPr>
              <w:t>Office of Principal Commissioner of Income Tax, Panaji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BD5BD2" w:rsidP="0071675A">
            <w:pPr>
              <w:jc w:val="both"/>
              <w:rPr>
                <w:bCs/>
                <w:sz w:val="24"/>
                <w:szCs w:val="24"/>
              </w:rPr>
            </w:pPr>
            <w:r w:rsidRPr="00807D5F">
              <w:rPr>
                <w:bCs/>
                <w:sz w:val="24"/>
                <w:szCs w:val="28"/>
              </w:rPr>
              <w:t>Proposal of Income Tax De</w:t>
            </w:r>
            <w:r w:rsidR="002E33DB">
              <w:rPr>
                <w:bCs/>
                <w:sz w:val="24"/>
                <w:szCs w:val="28"/>
              </w:rPr>
              <w:t>partment for change of land use.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BD5BD2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07D5F">
              <w:rPr>
                <w:bCs/>
                <w:sz w:val="24"/>
                <w:szCs w:val="28"/>
              </w:rPr>
              <w:t>Sy</w:t>
            </w:r>
            <w:proofErr w:type="spellEnd"/>
            <w:r w:rsidRPr="00807D5F">
              <w:rPr>
                <w:bCs/>
                <w:sz w:val="24"/>
                <w:szCs w:val="28"/>
              </w:rPr>
              <w:t>. Nos. 129/1 &amp; 130/1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BD5BD2" w:rsidP="009A4CC5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807D5F">
              <w:rPr>
                <w:bCs/>
                <w:sz w:val="24"/>
                <w:szCs w:val="28"/>
              </w:rPr>
              <w:t>Pehna</w:t>
            </w:r>
            <w:proofErr w:type="spellEnd"/>
            <w:r w:rsidRPr="00807D5F">
              <w:rPr>
                <w:bCs/>
                <w:sz w:val="24"/>
                <w:szCs w:val="28"/>
              </w:rPr>
              <w:t xml:space="preserve"> De Franca Village, </w:t>
            </w:r>
            <w:proofErr w:type="spellStart"/>
            <w:r w:rsidRPr="00807D5F">
              <w:rPr>
                <w:bCs/>
                <w:sz w:val="24"/>
                <w:szCs w:val="28"/>
              </w:rPr>
              <w:t>Bardez</w:t>
            </w:r>
            <w:proofErr w:type="spellEnd"/>
            <w:r w:rsidRPr="00807D5F">
              <w:rPr>
                <w:bCs/>
                <w:sz w:val="24"/>
                <w:szCs w:val="28"/>
              </w:rPr>
              <w:t xml:space="preserve"> Taluka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2C7637" w:rsidP="00BD5BD2">
            <w:pPr>
              <w:spacing w:line="360" w:lineRule="auto"/>
              <w:jc w:val="both"/>
              <w:rPr>
                <w:bCs/>
                <w:sz w:val="24"/>
                <w:szCs w:val="28"/>
              </w:rPr>
            </w:pPr>
            <w:r>
              <w:rPr>
                <w:bCs/>
                <w:sz w:val="24"/>
                <w:szCs w:val="28"/>
              </w:rPr>
              <w:t xml:space="preserve">5,050.00 </w:t>
            </w:r>
            <w:proofErr w:type="spellStart"/>
            <w:r>
              <w:rPr>
                <w:bCs/>
                <w:sz w:val="24"/>
                <w:szCs w:val="28"/>
              </w:rPr>
              <w:t>sq.</w:t>
            </w:r>
            <w:r w:rsidR="005C5F7D">
              <w:rPr>
                <w:bCs/>
                <w:sz w:val="24"/>
                <w:szCs w:val="28"/>
              </w:rPr>
              <w:t>m</w:t>
            </w:r>
            <w:r w:rsidR="00BD5BD2" w:rsidRPr="00807D5F">
              <w:rPr>
                <w:bCs/>
                <w:sz w:val="24"/>
                <w:szCs w:val="28"/>
              </w:rPr>
              <w:t>ts</w:t>
            </w:r>
            <w:proofErr w:type="spellEnd"/>
            <w:r w:rsidR="00BD5BD2" w:rsidRPr="00807D5F">
              <w:rPr>
                <w:bCs/>
                <w:sz w:val="24"/>
                <w:szCs w:val="28"/>
              </w:rPr>
              <w:t xml:space="preserve">. </w:t>
            </w:r>
          </w:p>
          <w:p w:rsidR="00BD5BD2" w:rsidRPr="00807D5F" w:rsidRDefault="00BD5BD2" w:rsidP="003B47F6">
            <w:pPr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BD5BD2" w:rsidP="00BD5BD2">
            <w:pPr>
              <w:jc w:val="both"/>
              <w:rPr>
                <w:sz w:val="24"/>
                <w:szCs w:val="24"/>
              </w:rPr>
            </w:pPr>
            <w:r w:rsidRPr="00807D5F">
              <w:rPr>
                <w:bCs/>
                <w:sz w:val="24"/>
                <w:szCs w:val="28"/>
              </w:rPr>
              <w:t xml:space="preserve">Settlement Zone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D2" w:rsidRPr="00807D5F" w:rsidRDefault="00BD5BD2" w:rsidP="003B47F6">
            <w:pPr>
              <w:jc w:val="both"/>
              <w:rPr>
                <w:bCs/>
                <w:sz w:val="24"/>
                <w:szCs w:val="24"/>
              </w:rPr>
            </w:pPr>
            <w:r w:rsidRPr="00807D5F">
              <w:rPr>
                <w:bCs/>
                <w:sz w:val="24"/>
                <w:szCs w:val="28"/>
              </w:rPr>
              <w:t>Institutional Zone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2AF" w:rsidRPr="00CD52AF" w:rsidRDefault="005C5F7D" w:rsidP="00CD52AF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</w:t>
            </w:r>
            <w:r w:rsidR="00CD52AF" w:rsidRPr="00CD52AF">
              <w:rPr>
                <w:sz w:val="24"/>
                <w:szCs w:val="28"/>
              </w:rPr>
              <w:t xml:space="preserve">onsidering the FAR earlier allotted </w:t>
            </w:r>
            <w:r>
              <w:rPr>
                <w:sz w:val="24"/>
                <w:szCs w:val="28"/>
              </w:rPr>
              <w:t xml:space="preserve">for Housing Board, </w:t>
            </w:r>
            <w:r w:rsidR="00CD52AF" w:rsidRPr="00CD52AF">
              <w:rPr>
                <w:sz w:val="24"/>
                <w:szCs w:val="28"/>
              </w:rPr>
              <w:t xml:space="preserve">the Committee </w:t>
            </w:r>
            <w:proofErr w:type="gramStart"/>
            <w:r w:rsidR="00CD52AF" w:rsidRPr="00CD52AF">
              <w:rPr>
                <w:sz w:val="24"/>
                <w:szCs w:val="28"/>
              </w:rPr>
              <w:t>recommended  the</w:t>
            </w:r>
            <w:proofErr w:type="gramEnd"/>
            <w:r w:rsidR="00CD52AF" w:rsidRPr="00CD52AF">
              <w:rPr>
                <w:sz w:val="24"/>
                <w:szCs w:val="28"/>
              </w:rPr>
              <w:t xml:space="preserve"> change of zone of the property for an area of </w:t>
            </w:r>
            <w:r w:rsidR="00CD52AF" w:rsidRPr="00CD52AF">
              <w:rPr>
                <w:bCs/>
                <w:sz w:val="24"/>
                <w:szCs w:val="28"/>
              </w:rPr>
              <w:t>5,050</w:t>
            </w:r>
            <w:r>
              <w:rPr>
                <w:bCs/>
                <w:sz w:val="24"/>
                <w:szCs w:val="28"/>
              </w:rPr>
              <w:t>.00</w:t>
            </w:r>
            <w:r w:rsidR="00CD52AF" w:rsidRPr="00CD52AF">
              <w:rPr>
                <w:bCs/>
                <w:sz w:val="24"/>
                <w:szCs w:val="28"/>
              </w:rPr>
              <w:t xml:space="preserve"> </w:t>
            </w:r>
            <w:proofErr w:type="spellStart"/>
            <w:r w:rsidR="00CD52AF" w:rsidRPr="00CD52AF">
              <w:rPr>
                <w:bCs/>
                <w:sz w:val="24"/>
                <w:szCs w:val="28"/>
              </w:rPr>
              <w:t>sq.mts</w:t>
            </w:r>
            <w:proofErr w:type="spellEnd"/>
            <w:r w:rsidR="00CD52AF" w:rsidRPr="00CD52AF">
              <w:rPr>
                <w:bCs/>
                <w:sz w:val="24"/>
                <w:szCs w:val="28"/>
              </w:rPr>
              <w:t xml:space="preserve">. from </w:t>
            </w:r>
            <w:r w:rsidR="00CD52AF" w:rsidRPr="00CD52AF">
              <w:rPr>
                <w:sz w:val="24"/>
                <w:szCs w:val="28"/>
              </w:rPr>
              <w:t>Settlement zone to Institutional zone with FAR of 150.</w:t>
            </w:r>
          </w:p>
          <w:p w:rsidR="00BD5BD2" w:rsidRPr="00CD52AF" w:rsidRDefault="00BD5BD2" w:rsidP="00CD52AF">
            <w:pPr>
              <w:ind w:firstLine="720"/>
              <w:jc w:val="both"/>
              <w:rPr>
                <w:sz w:val="24"/>
                <w:szCs w:val="24"/>
              </w:rPr>
            </w:pPr>
          </w:p>
        </w:tc>
      </w:tr>
    </w:tbl>
    <w:p w:rsidR="00B764DD" w:rsidRPr="006E7CFF" w:rsidRDefault="00B764DD">
      <w:pPr>
        <w:rPr>
          <w:sz w:val="24"/>
          <w:szCs w:val="24"/>
        </w:rPr>
      </w:pPr>
    </w:p>
    <w:sectPr w:rsidR="00B764DD" w:rsidRPr="006E7CFF" w:rsidSect="004B3D94">
      <w:footerReference w:type="default" r:id="rId7"/>
      <w:pgSz w:w="20160" w:h="12240" w:orient="landscape" w:code="5"/>
      <w:pgMar w:top="1440" w:right="1440" w:bottom="212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4C14" w:rsidRDefault="00234C14" w:rsidP="006D12B8">
      <w:r>
        <w:separator/>
      </w:r>
    </w:p>
  </w:endnote>
  <w:endnote w:type="continuationSeparator" w:id="0">
    <w:p w:rsidR="00234C14" w:rsidRDefault="00234C14" w:rsidP="006D1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50699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12B8" w:rsidRDefault="006D12B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029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D12B8" w:rsidRDefault="006D12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4C14" w:rsidRDefault="00234C14" w:rsidP="006D12B8">
      <w:r>
        <w:separator/>
      </w:r>
    </w:p>
  </w:footnote>
  <w:footnote w:type="continuationSeparator" w:id="0">
    <w:p w:rsidR="00234C14" w:rsidRDefault="00234C14" w:rsidP="006D12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1C31AF"/>
    <w:multiLevelType w:val="hybridMultilevel"/>
    <w:tmpl w:val="34A4C288"/>
    <w:lvl w:ilvl="0" w:tplc="17F4667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03F"/>
    <w:rsid w:val="00066C4C"/>
    <w:rsid w:val="00093F76"/>
    <w:rsid w:val="000F6FEA"/>
    <w:rsid w:val="00144106"/>
    <w:rsid w:val="00227A0F"/>
    <w:rsid w:val="00234C14"/>
    <w:rsid w:val="002C7637"/>
    <w:rsid w:val="002E2223"/>
    <w:rsid w:val="002E33DB"/>
    <w:rsid w:val="003C00D5"/>
    <w:rsid w:val="00463038"/>
    <w:rsid w:val="00473DE8"/>
    <w:rsid w:val="004A2241"/>
    <w:rsid w:val="004B3D94"/>
    <w:rsid w:val="004C79A1"/>
    <w:rsid w:val="005545DD"/>
    <w:rsid w:val="00556988"/>
    <w:rsid w:val="005A2889"/>
    <w:rsid w:val="005C31D9"/>
    <w:rsid w:val="005C5F7D"/>
    <w:rsid w:val="00654B41"/>
    <w:rsid w:val="00673691"/>
    <w:rsid w:val="0068503E"/>
    <w:rsid w:val="006D12B8"/>
    <w:rsid w:val="006E7CFF"/>
    <w:rsid w:val="00703BE8"/>
    <w:rsid w:val="00714E4D"/>
    <w:rsid w:val="0071675A"/>
    <w:rsid w:val="0073652C"/>
    <w:rsid w:val="007A2CA7"/>
    <w:rsid w:val="007C0666"/>
    <w:rsid w:val="00807D5F"/>
    <w:rsid w:val="00851B79"/>
    <w:rsid w:val="00884F59"/>
    <w:rsid w:val="0092184D"/>
    <w:rsid w:val="009333EE"/>
    <w:rsid w:val="00953AD1"/>
    <w:rsid w:val="009A4CC5"/>
    <w:rsid w:val="009B13AE"/>
    <w:rsid w:val="009C64F6"/>
    <w:rsid w:val="00A7748D"/>
    <w:rsid w:val="00AC2784"/>
    <w:rsid w:val="00AD5976"/>
    <w:rsid w:val="00B23C44"/>
    <w:rsid w:val="00B406D1"/>
    <w:rsid w:val="00B65F3A"/>
    <w:rsid w:val="00B764DD"/>
    <w:rsid w:val="00B950F1"/>
    <w:rsid w:val="00BC129E"/>
    <w:rsid w:val="00BD50A3"/>
    <w:rsid w:val="00BD5BD2"/>
    <w:rsid w:val="00BF1E7F"/>
    <w:rsid w:val="00C16C51"/>
    <w:rsid w:val="00C55125"/>
    <w:rsid w:val="00C71AAF"/>
    <w:rsid w:val="00C94FF4"/>
    <w:rsid w:val="00CD52AF"/>
    <w:rsid w:val="00CE392D"/>
    <w:rsid w:val="00D012A6"/>
    <w:rsid w:val="00D142A4"/>
    <w:rsid w:val="00D60C94"/>
    <w:rsid w:val="00E0603F"/>
    <w:rsid w:val="00E07E8D"/>
    <w:rsid w:val="00E34687"/>
    <w:rsid w:val="00E3719A"/>
    <w:rsid w:val="00E6367F"/>
    <w:rsid w:val="00EB0292"/>
    <w:rsid w:val="00EB6526"/>
    <w:rsid w:val="00F77B83"/>
    <w:rsid w:val="00F83915"/>
    <w:rsid w:val="00FC6C4F"/>
    <w:rsid w:val="00FE0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9C5CA"/>
  <w15:chartTrackingRefBased/>
  <w15:docId w15:val="{4CAA8F40-305A-4C2A-BE8B-9E5AACE5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C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A4CC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D12B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2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6D12B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2B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9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9A1"/>
    <w:rPr>
      <w:rFonts w:ascii="Segoe UI" w:eastAsia="Times New Roman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CD52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129</cp:revision>
  <cp:lastPrinted>2022-08-11T05:03:00Z</cp:lastPrinted>
  <dcterms:created xsi:type="dcterms:W3CDTF">2021-09-07T06:35:00Z</dcterms:created>
  <dcterms:modified xsi:type="dcterms:W3CDTF">2022-08-11T05:04:00Z</dcterms:modified>
</cp:coreProperties>
</file>